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Calibri" w:cs="Calibri" w:eastAsia="Calibri" w:hAnsi="Calibri"/>
          <w:b/>
          <w:bCs/>
          <w:color w:val="4F46E5"/>
          <w:sz w:val="72"/>
          <w:szCs w:val="72"/>
        </w:rPr>
        <w:t xml:space="preserve">SOFIAA OS</w:t>
      </w:r>
    </w:p>
    <w:p>
      <w:pPr>
        <w:spacing w:before="120"/>
        <w:jc w:val="center"/>
      </w:pPr>
      <w:r>
        <w:rPr>
          <w:rFonts w:ascii="Calibri" w:cs="Calibri" w:eastAsia="Calibri" w:hAnsi="Calibri"/>
          <w:b/>
          <w:bCs/>
          <w:color w:val="0F172A"/>
          <w:sz w:val="40"/>
          <w:szCs w:val="40"/>
        </w:rPr>
        <w:t xml:space="preserve">N.E.X.O. — Nexus Extension de Conocimiento y Operaciones</w:t>
      </w:r>
    </w:p>
    <w:p>
      <w:pPr>
        <w:spacing w:before="80"/>
        <w:jc w:val="center"/>
      </w:pPr>
      <w:r>
        <w:rPr>
          <w:rFonts w:ascii="Calibri" w:cs="Calibri" w:eastAsia="Calibri" w:hAnsi="Calibri"/>
          <w:color w:val="64748B"/>
          <w:sz w:val="30"/>
          <w:szCs w:val="30"/>
        </w:rPr>
        <w:t xml:space="preserve">Reporte Doctoral de Arquitectura e Implementación</w:t>
      </w:r>
    </w:p>
    <w:p>
      <w:pPr>
        <w:spacing w:before="60"/>
        <w:jc w:val="center"/>
      </w:pPr>
      <w:r>
        <w:rPr>
          <w:rFonts w:ascii="Calibri" w:cs="Calibri" w:eastAsia="Calibri" w:hAnsi="Calibri"/>
          <w:color w:val="64748B"/>
          <w:sz w:val="24"/>
          <w:szCs w:val="24"/>
        </w:rPr>
        <w:t xml:space="preserve">Experience Graph · Decay Engine · Semantic Retrieval · Reflection Engine</w:t>
      </w:r>
    </w:p>
    <w:p>
      <w:pPr>
        <w:spacing w:after="600" w:before="0"/>
      </w:pPr>
      <w:r>
        <w:t xml:space="preserve"/>
      </w:r>
    </w:p>
    <w:p>
      <w:pPr>
        <w:jc w:val="center"/>
      </w:pPr>
      <w:r>
        <w:rPr>
          <w:rFonts w:ascii="Calibri" w:cs="Calibri" w:eastAsia="Calibri" w:hAnsi="Calibri"/>
          <w:color w:val="64748B"/>
          <w:sz w:val="22"/>
          <w:szCs w:val="22"/>
        </w:rPr>
        <w:t xml:space="preserve">SOFIAA OS · Sistema de Inteligencia Personal · Sprints N-0 → M-4B</w:t>
      </w:r>
    </w:p>
    <w:p>
      <w:pPr>
        <w:spacing w:before="40"/>
        <w:jc w:val="center"/>
      </w:pPr>
      <w:r>
        <w:rPr>
          <w:rFonts w:ascii="Calibri" w:cs="Calibri" w:eastAsia="Calibri" w:hAnsi="Calibri"/>
          <w:color w:val="64748B"/>
          <w:sz w:val="22"/>
          <w:szCs w:val="22"/>
        </w:rPr>
        <w:t xml:space="preserve">Versión 2.0 · Julio 2026</w:t>
      </w:r>
    </w:p>
    <w:p>
      <w:r>
        <w:br w:type="page"/>
      </w:r>
    </w:p>
    <w:p>
      <w:pPr>
        <w:pStyle w:val="Heading1"/>
        <w:spacing w:after="160" w:before="360"/>
      </w:pPr>
      <w:r>
        <w:rPr>
          <w:rFonts w:ascii="Calibri" w:cs="Calibri" w:eastAsia="Calibri" w:hAnsi="Calibri"/>
          <w:b/>
          <w:bCs/>
          <w:color w:val="0F172A"/>
          <w:sz w:val="48"/>
          <w:szCs w:val="48"/>
        </w:rPr>
        <w:t xml:space="preserve">1. Resumen Ejecutivo</w:t>
      </w:r>
    </w:p>
    <w:p>
      <w:pPr>
        <w:spacing w:after="80" w:before="80" w:line="320"/>
      </w:pPr>
      <w:r>
        <w:rPr>
          <w:rFonts w:ascii="Calibri" w:cs="Calibri" w:eastAsia="Calibri" w:hAnsi="Calibri"/>
          <w:color w:val="0F172A"/>
          <w:sz w:val="22"/>
          <w:szCs w:val="22"/>
        </w:rPr>
        <w:t xml:space="preserve">N.E.X.O. (Nexus Extension de Conocimiento y Operaciones) es la capa de memoria a largo plazo de SOFIAA OS. Es el sistema que transforma lo que el usuario ve, lee y procesa en conocimiento estructurado, persistente y cognitivamente relevante. A diferencia de un historial de chat que se desvanece, N.E.X.O. construye un grafo de experiencia semántica que crece con el usuario, aprende sus patrones de interés y decae orgánicamente cuando la información deja de ser relevante.</w:t>
      </w:r>
    </w:p>
    <w:p>
      <w:pPr>
        <w:spacing w:after="80" w:before="80" w:line="320"/>
      </w:pPr>
      <w:r>
        <w:rPr>
          <w:rFonts w:ascii="Calibri" w:cs="Calibri" w:eastAsia="Calibri" w:hAnsi="Calibri"/>
          <w:color w:val="0F172A"/>
          <w:sz w:val="22"/>
          <w:szCs w:val="22"/>
        </w:rPr>
        <w:t xml:space="preserve">El sistema opera sobre un principio inspirado en la neurociencia cognitiva: la memoria no es almacenamiento infinito, sino un proceso activo de consolidación, refuerzo y olvido selectivo. Un nodo nuevo entra con peso 0.60, se refuerza (+0.03) cada vez que SOFIAA lo referencia en conversación, y decae exponencialmente (λ = ln(2)/t½) en función de la categoría de contenido. Los nodos que caen por debajo de 0.05 son eliminados permanentemente — el sistema olvida, como lo hace la memoria humana.</w:t>
      </w:r>
    </w:p>
    <w:p>
      <w:pPr>
        <w:spacing w:after="80" w:before="80" w:line="320"/>
      </w:pPr>
      <w:r>
        <w:rPr>
          <w:rFonts w:ascii="Calibri" w:cs="Calibri" w:eastAsia="Calibri" w:hAnsi="Calibri"/>
          <w:color w:val="0F172A"/>
          <w:sz w:val="22"/>
          <w:szCs w:val="22"/>
        </w:rPr>
        <w:t xml:space="preserve">N.E.X.O. tiene siete motores especializados: Ingest Pipeline (clasificación LLM), Decay Engine (olvido adaptativo), Reflection Engine (generación de insights), Attention Engine (refuerzo por uso), Semantic Retrieval (ranking híbrido coseno+peso), PDF Library (ingesta de documentos), y Context Injection (inyección en el system prompt). Juntos forman la capa cognitiva más fundamental de SOFIAA.</w:t>
      </w:r>
    </w:p>
    <w:p/>
    <w:tbl>
      <w:tblPr>
        <w:tblW w:type="dxa" w:w="9360"/>
        <w:tblBorders>
          <w:top w:val="single" w:color="C7D2FE" w:sz="1"/>
          <w:left w:val="single" w:color="C7D2FE" w:sz="1"/>
          <w:bottom w:val="single" w:color="C7D2FE" w:sz="1"/>
          <w:right w:val="single" w:color="C7D2FE" w:sz="1"/>
          <w:insideH w:val="single" w:color="auto" w:sz="4"/>
          <w:insideV w:val="single" w:color="auto" w:sz="4"/>
        </w:tblBorders>
      </w:tblPr>
      <w:tblGrid>
        <w:gridCol w:w="100"/>
        <w:gridCol w:w="100"/>
        <w:gridCol w:w="100"/>
      </w:tblGrid>
      <w:tr>
        <w:trPr>
          <w:tblHeader/>
        </w:trPr>
        <w:tc>
          <w:tcPr>
            <w:tcW w:type="dxa" w:w="28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Motor</w:t>
            </w:r>
          </w:p>
        </w:tc>
        <w:tc>
          <w:tcPr>
            <w:tcW w:type="dxa" w:w="10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Sprint</w:t>
            </w:r>
          </w:p>
        </w:tc>
        <w:tc>
          <w:tcPr>
            <w:tcW w:type="dxa" w:w="556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Función Central</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Ingest Pipeline (LLM Classifier)</w:t>
            </w:r>
          </w:p>
        </w:tc>
        <w:tc>
          <w:tcPr>
            <w:tcW w:type="dxa" w:w="1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N-2</w:t>
            </w:r>
          </w:p>
        </w:tc>
        <w:tc>
          <w:tcPr>
            <w:tcW w:type="dxa" w:w="5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Clasifica contenido web → NexoNode estructurado via Groq</w:t>
            </w:r>
          </w:p>
        </w:tc>
      </w:tr>
      <w:tr>
        <w:tc>
          <w:tcPr>
            <w:tcW w:type="dxa" w:w="2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Decay Engine</w:t>
            </w:r>
          </w:p>
        </w:tc>
        <w:tc>
          <w:tcPr>
            <w:tcW w:type="dxa" w:w="1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N-3</w:t>
            </w:r>
          </w:p>
        </w:tc>
        <w:tc>
          <w:tcPr>
            <w:tcW w:type="dxa" w:w="55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Decaimiento exponencial λ = ln(2)/t½ · CRON 3 AM diario</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Context Injection</w:t>
            </w:r>
          </w:p>
        </w:tc>
        <w:tc>
          <w:tcPr>
            <w:tcW w:type="dxa" w:w="1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N-4</w:t>
            </w:r>
          </w:p>
        </w:tc>
        <w:tc>
          <w:tcPr>
            <w:tcW w:type="dxa" w:w="5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Inyecta top-N nodos en el system prompt de SOFIAA</w:t>
            </w:r>
          </w:p>
        </w:tc>
      </w:tr>
      <w:tr>
        <w:tc>
          <w:tcPr>
            <w:tcW w:type="dxa" w:w="2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Reflection Engine</w:t>
            </w:r>
          </w:p>
        </w:tc>
        <w:tc>
          <w:tcPr>
            <w:tcW w:type="dxa" w:w="1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M-0</w:t>
            </w:r>
          </w:p>
        </w:tc>
        <w:tc>
          <w:tcPr>
            <w:tcW w:type="dxa" w:w="55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Genera insights cognitivos desde patrones del grafo</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PDF Library</w:t>
            </w:r>
          </w:p>
        </w:tc>
        <w:tc>
          <w:tcPr>
            <w:tcW w:type="dxa" w:w="1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M-1</w:t>
            </w:r>
          </w:p>
        </w:tc>
        <w:tc>
          <w:tcPr>
            <w:tcW w:type="dxa" w:w="5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Procesa PDFs → múltiples NexoNodes por documento</w:t>
            </w:r>
          </w:p>
        </w:tc>
      </w:tr>
      <w:tr>
        <w:tc>
          <w:tcPr>
            <w:tcW w:type="dxa" w:w="2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Attention Engine</w:t>
            </w:r>
          </w:p>
        </w:tc>
        <w:tc>
          <w:tcPr>
            <w:tcW w:type="dxa" w:w="1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M-2</w:t>
            </w:r>
          </w:p>
        </w:tc>
        <w:tc>
          <w:tcPr>
            <w:tcW w:type="dxa" w:w="55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Refuerza nodos usados en conversación via waitUntil()</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Semantic Retrieval</w:t>
            </w:r>
          </w:p>
        </w:tc>
        <w:tc>
          <w:tcPr>
            <w:tcW w:type="dxa" w:w="1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M-4</w:t>
            </w:r>
          </w:p>
        </w:tc>
        <w:tc>
          <w:tcPr>
            <w:tcW w:type="dxa" w:w="5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Ranking híbrido: coseno(query, node)*0.65 + peso*0.35</w:t>
            </w:r>
          </w:p>
        </w:tc>
      </w:tr>
    </w:tbl>
    <w:p>
      <w:r>
        <w:br w:type="page"/>
      </w:r>
    </w:p>
    <w:p>
      <w:pPr>
        <w:pStyle w:val="Heading1"/>
        <w:spacing w:after="160" w:before="360"/>
      </w:pPr>
      <w:r>
        <w:rPr>
          <w:rFonts w:ascii="Calibri" w:cs="Calibri" w:eastAsia="Calibri" w:hAnsi="Calibri"/>
          <w:b/>
          <w:bCs/>
          <w:color w:val="0F172A"/>
          <w:sz w:val="48"/>
          <w:szCs w:val="48"/>
        </w:rPr>
        <w:t xml:space="preserve">2. Schema de Datos — NexoNode</w:t>
      </w:r>
    </w:p>
    <w:p>
      <w:pPr>
        <w:spacing w:after="80" w:before="80" w:line="320"/>
      </w:pPr>
      <w:r>
        <w:rPr>
          <w:rFonts w:ascii="Calibri" w:cs="Calibri" w:eastAsia="Calibri" w:hAnsi="Calibri"/>
          <w:color w:val="0F172A"/>
          <w:sz w:val="22"/>
          <w:szCs w:val="22"/>
        </w:rPr>
        <w:t xml:space="preserve">El NexoNode es la unidad fundamental de N.E.X.O. Cada nodo representa un fragmento de conocimiento capturado del usuario: una página web, un restaurante, un producto, un artículo de investigación o un insight generado automáticamente. La interfaz está diseñada para ser expresiva pero económica — cada campo tiene un propósito cognitivo claro.</w:t>
      </w:r>
    </w:p>
    <w:p/>
    <w:p>
      <w:pPr>
        <w:pStyle w:val="Heading2"/>
        <w:spacing w:after="120" w:before="280"/>
      </w:pPr>
      <w:r>
        <w:rPr>
          <w:rFonts w:ascii="Calibri" w:cs="Calibri" w:eastAsia="Calibri" w:hAnsi="Calibri"/>
          <w:b/>
          <w:bCs/>
          <w:color w:val="1E1B4B"/>
          <w:sz w:val="36"/>
          <w:szCs w:val="36"/>
        </w:rPr>
        <w:t xml:space="preserve">2.1 Campos Core del NexoNode</w:t>
      </w:r>
    </w:p>
    <w:tbl>
      <w:tblPr>
        <w:tblW w:type="dxa" w:w="9360"/>
        <w:tblBorders>
          <w:top w:val="single" w:color="C7D2FE" w:sz="1"/>
          <w:left w:val="single" w:color="C7D2FE" w:sz="1"/>
          <w:bottom w:val="single" w:color="C7D2FE" w:sz="1"/>
          <w:right w:val="single" w:color="C7D2FE" w:sz="1"/>
          <w:insideH w:val="single" w:color="auto" w:sz="4"/>
          <w:insideV w:val="single" w:color="auto" w:sz="4"/>
        </w:tblBorders>
      </w:tblPr>
      <w:tblGrid>
        <w:gridCol w:w="100"/>
        <w:gridCol w:w="100"/>
        <w:gridCol w:w="100"/>
      </w:tblGrid>
      <w:tr>
        <w:trPr>
          <w:tblHeader/>
        </w:trPr>
        <w:tc>
          <w:tcPr>
            <w:tcW w:type="dxa" w:w="20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Campo</w:t>
            </w:r>
          </w:p>
        </w:tc>
        <w:tc>
          <w:tcPr>
            <w:tcW w:type="dxa" w:w="18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Tipo</w:t>
            </w:r>
          </w:p>
        </w:tc>
        <w:tc>
          <w:tcPr>
            <w:tcW w:type="dxa" w:w="556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Descripción Cognitiva</w:t>
            </w:r>
          </w:p>
        </w:tc>
      </w:tr>
      <w:tr>
        <w:tc>
          <w:tcPr>
            <w:tcW w:type="dxa" w:w="2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id</w:t>
            </w:r>
          </w:p>
        </w:tc>
        <w:tc>
          <w:tcPr>
            <w:tcW w:type="dxa" w:w="1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string</w:t>
            </w:r>
          </w:p>
        </w:tc>
        <w:tc>
          <w:tcPr>
            <w:tcW w:type="dxa" w:w="5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'nexo:{category}:{slug}' — identificador único semántico</w:t>
            </w:r>
          </w:p>
        </w:tc>
      </w:tr>
      <w:tr>
        <w:tc>
          <w:tcPr>
            <w:tcW w:type="dxa" w:w="2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type</w:t>
            </w:r>
          </w:p>
        </w:tc>
        <w:tc>
          <w:tcPr>
            <w:tcW w:type="dxa" w:w="1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'captured'|'insight'</w:t>
            </w:r>
          </w:p>
        </w:tc>
        <w:tc>
          <w:tcPr>
            <w:tcW w:type="dxa" w:w="55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Capturado por usuario vs generado por Reflection Engine</w:t>
            </w:r>
          </w:p>
        </w:tc>
      </w:tr>
      <w:tr>
        <w:tc>
          <w:tcPr>
            <w:tcW w:type="dxa" w:w="2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category</w:t>
            </w:r>
          </w:p>
        </w:tc>
        <w:tc>
          <w:tcPr>
            <w:tcW w:type="dxa" w:w="1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NexoCategory</w:t>
            </w:r>
          </w:p>
        </w:tc>
        <w:tc>
          <w:tcPr>
            <w:tcW w:type="dxa" w:w="5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Categoría semántica (food, work, travel, research, etc.)</w:t>
            </w:r>
          </w:p>
        </w:tc>
      </w:tr>
      <w:tr>
        <w:tc>
          <w:tcPr>
            <w:tcW w:type="dxa" w:w="2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title</w:t>
            </w:r>
          </w:p>
        </w:tc>
        <w:tc>
          <w:tcPr>
            <w:tcW w:type="dxa" w:w="1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string</w:t>
            </w:r>
          </w:p>
        </w:tc>
        <w:tc>
          <w:tcPr>
            <w:tcW w:type="dxa" w:w="55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Título legible para el LLM — se usa en el prompt</w:t>
            </w:r>
          </w:p>
        </w:tc>
      </w:tr>
      <w:tr>
        <w:tc>
          <w:tcPr>
            <w:tcW w:type="dxa" w:w="2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summary</w:t>
            </w:r>
          </w:p>
        </w:tc>
        <w:tc>
          <w:tcPr>
            <w:tcW w:type="dxa" w:w="1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string</w:t>
            </w:r>
          </w:p>
        </w:tc>
        <w:tc>
          <w:tcPr>
            <w:tcW w:type="dxa" w:w="5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Resumen ≤200 chars extraído por el LLM Classifier</w:t>
            </w:r>
          </w:p>
        </w:tc>
      </w:tr>
      <w:tr>
        <w:tc>
          <w:tcPr>
            <w:tcW w:type="dxa" w:w="2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entities</w:t>
            </w:r>
          </w:p>
        </w:tc>
        <w:tc>
          <w:tcPr>
            <w:tcW w:type="dxa" w:w="1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NexoEntities</w:t>
            </w:r>
          </w:p>
        </w:tc>
        <w:tc>
          <w:tcPr>
            <w:tcW w:type="dxa" w:w="55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Entidades clave: place, person, product, price, brand, hashtags</w:t>
            </w:r>
          </w:p>
        </w:tc>
      </w:tr>
      <w:tr>
        <w:tc>
          <w:tcPr>
            <w:tcW w:type="dxa" w:w="2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weight</w:t>
            </w:r>
          </w:p>
        </w:tc>
        <w:tc>
          <w:tcPr>
            <w:tcW w:type="dxa" w:w="1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number 0-1</w:t>
            </w:r>
          </w:p>
        </w:tc>
        <w:tc>
          <w:tcPr>
            <w:tcW w:type="dxa" w:w="5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Relevancia actual — decae exponencialmente con el tiempo</w:t>
            </w:r>
          </w:p>
        </w:tc>
      </w:tr>
      <w:tr>
        <w:tc>
          <w:tcPr>
            <w:tcW w:type="dxa" w:w="2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importanceScore</w:t>
            </w:r>
          </w:p>
        </w:tc>
        <w:tc>
          <w:tcPr>
            <w:tcW w:type="dxa" w:w="1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number 0-1</w:t>
            </w:r>
          </w:p>
        </w:tc>
        <w:tc>
          <w:tcPr>
            <w:tcW w:type="dxa" w:w="55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Importancia asignada en ingesta (0=spam, 1=muy relevante)</w:t>
            </w:r>
          </w:p>
        </w:tc>
      </w:tr>
      <w:tr>
        <w:tc>
          <w:tcPr>
            <w:tcW w:type="dxa" w:w="2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decayRate</w:t>
            </w:r>
          </w:p>
        </w:tc>
        <w:tc>
          <w:tcPr>
            <w:tcW w:type="dxa" w:w="1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number</w:t>
            </w:r>
          </w:p>
        </w:tc>
        <w:tc>
          <w:tcPr>
            <w:tcW w:type="dxa" w:w="5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Tasa individual de decaimiento. Default: 0.05 web, 0.02 PDFs, 0.02 insights</w:t>
            </w:r>
          </w:p>
        </w:tc>
      </w:tr>
      <w:tr>
        <w:tc>
          <w:tcPr>
            <w:tcW w:type="dxa" w:w="2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lastReinforced</w:t>
            </w:r>
          </w:p>
        </w:tc>
        <w:tc>
          <w:tcPr>
            <w:tcW w:type="dxa" w:w="1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number (ms)</w:t>
            </w:r>
          </w:p>
        </w:tc>
        <w:tc>
          <w:tcPr>
            <w:tcW w:type="dxa" w:w="55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Último refuerzo — resetea el reloj del decay</w:t>
            </w:r>
          </w:p>
        </w:tc>
      </w:tr>
      <w:tr>
        <w:tc>
          <w:tcPr>
            <w:tcW w:type="dxa" w:w="2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reinforceCount</w:t>
            </w:r>
          </w:p>
        </w:tc>
        <w:tc>
          <w:tcPr>
            <w:tcW w:type="dxa" w:w="1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number?</w:t>
            </w:r>
          </w:p>
        </w:tc>
        <w:tc>
          <w:tcPr>
            <w:tcW w:type="dxa" w:w="5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Veces seleccionado por el Attention Engine (Sprint M-2)</w:t>
            </w:r>
          </w:p>
        </w:tc>
      </w:tr>
      <w:tr>
        <w:tc>
          <w:tcPr>
            <w:tcW w:type="dxa" w:w="2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embedding</w:t>
            </w:r>
          </w:p>
        </w:tc>
        <w:tc>
          <w:tcPr>
            <w:tcW w:type="dxa" w:w="1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number[]?</w:t>
            </w:r>
          </w:p>
        </w:tc>
        <w:tc>
          <w:tcPr>
            <w:tcW w:type="dxa" w:w="55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Vector semántico para similitud coseno (Sprint M-4)</w:t>
            </w:r>
          </w:p>
        </w:tc>
      </w:tr>
    </w:tbl>
    <w:p/>
    <w:p>
      <w:pPr>
        <w:pStyle w:val="Heading2"/>
        <w:spacing w:after="120" w:before="280"/>
      </w:pPr>
      <w:r>
        <w:rPr>
          <w:rFonts w:ascii="Calibri" w:cs="Calibri" w:eastAsia="Calibri" w:hAnsi="Calibri"/>
          <w:b/>
          <w:bCs/>
          <w:color w:val="1E1B4B"/>
          <w:sz w:val="36"/>
          <w:szCs w:val="36"/>
        </w:rPr>
        <w:t xml:space="preserve">2.2 NexoCategory — Las 9 Categorías Semánticas</w:t>
      </w:r>
    </w:p>
    <w:p>
      <w:pPr>
        <w:spacing w:after="80" w:before="80" w:line="320"/>
      </w:pPr>
      <w:r>
        <w:rPr>
          <w:rFonts w:ascii="Calibri" w:cs="Calibri" w:eastAsia="Calibri" w:hAnsi="Calibri"/>
          <w:color w:val="0F172A"/>
          <w:sz w:val="22"/>
          <w:szCs w:val="22"/>
        </w:rPr>
        <w:t xml:space="preserve">El clasificador LLM asigna una de 9 categorías a cada nodo. La categoría determina la tasa de decaimiento (NEXO_DECAY_DAYS): las memorias de trabajo y marca son más estables; comida, social y media decaen más rápido, reflejando su naturaleza más efímera.</w:t>
      </w:r>
    </w:p>
    <w:tbl>
      <w:tblPr>
        <w:tblW w:type="dxa" w:w="9360"/>
        <w:tblBorders>
          <w:top w:val="single" w:color="C7D2FE" w:sz="1"/>
          <w:left w:val="single" w:color="C7D2FE" w:sz="1"/>
          <w:bottom w:val="single" w:color="C7D2FE" w:sz="1"/>
          <w:right w:val="single" w:color="C7D2FE" w:sz="1"/>
          <w:insideH w:val="single" w:color="auto" w:sz="4"/>
          <w:insideV w:val="single" w:color="auto" w:sz="4"/>
        </w:tblBorders>
      </w:tblPr>
      <w:tblGrid>
        <w:gridCol w:w="100"/>
        <w:gridCol w:w="100"/>
        <w:gridCol w:w="100"/>
        <w:gridCol w:w="100"/>
      </w:tblGrid>
      <w:tr>
        <w:trPr>
          <w:tblHeader/>
        </w:trPr>
        <w:tc>
          <w:tcPr>
            <w:tcW w:type="dxa" w:w="18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Categoría</w:t>
            </w:r>
          </w:p>
        </w:tc>
        <w:tc>
          <w:tcPr>
            <w:tcW w:type="dxa" w:w="26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Semántica</w:t>
            </w:r>
          </w:p>
        </w:tc>
        <w:tc>
          <w:tcPr>
            <w:tcW w:type="dxa" w:w="16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Half-Life (días)</w:t>
            </w:r>
          </w:p>
        </w:tc>
        <w:tc>
          <w:tcPr>
            <w:tcW w:type="dxa" w:w="336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Ejemplo de Captura</w:t>
            </w:r>
          </w:p>
        </w:tc>
      </w:tr>
      <w:tr>
        <w:tc>
          <w:tcPr>
            <w:tcW w:type="dxa" w:w="1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brand_identity</w:t>
            </w:r>
          </w:p>
        </w:tc>
        <w:tc>
          <w:tcPr>
            <w:tcW w:type="dxa" w:w="2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Brand DNA, identidad de marca (PROMETEO)</w:t>
            </w:r>
          </w:p>
        </w:tc>
        <w:tc>
          <w:tcPr>
            <w:tcW w:type="dxa" w:w="1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90</w:t>
            </w:r>
          </w:p>
        </w:tc>
        <w:tc>
          <w:tcPr>
            <w:tcW w:type="dxa" w:w="33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Brief de cliente, arquetipo de marca</w:t>
            </w:r>
          </w:p>
        </w:tc>
      </w:tr>
      <w:tr>
        <w:tc>
          <w:tcPr>
            <w:tcW w:type="dxa" w:w="1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work</w:t>
            </w:r>
          </w:p>
        </w:tc>
        <w:tc>
          <w:tcPr>
            <w:tcW w:type="dxa" w:w="26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Artículos, proyectos, herramientas profesionales</w:t>
            </w:r>
          </w:p>
        </w:tc>
        <w:tc>
          <w:tcPr>
            <w:tcW w:type="dxa" w:w="16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30</w:t>
            </w:r>
          </w:p>
        </w:tc>
        <w:tc>
          <w:tcPr>
            <w:tcW w:type="dxa" w:w="33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Tutorial de Next.js, propuesta de proyecto</w:t>
            </w:r>
          </w:p>
        </w:tc>
      </w:tr>
      <w:tr>
        <w:tc>
          <w:tcPr>
            <w:tcW w:type="dxa" w:w="1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research</w:t>
            </w:r>
          </w:p>
        </w:tc>
        <w:tc>
          <w:tcPr>
            <w:tcW w:type="dxa" w:w="2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Papers, noticias, investigación académica</w:t>
            </w:r>
          </w:p>
        </w:tc>
        <w:tc>
          <w:tcPr>
            <w:tcW w:type="dxa" w:w="1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30</w:t>
            </w:r>
          </w:p>
        </w:tc>
        <w:tc>
          <w:tcPr>
            <w:tcW w:type="dxa" w:w="33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Estudio de mercado, artículo IEEE</w:t>
            </w:r>
          </w:p>
        </w:tc>
      </w:tr>
      <w:tr>
        <w:tc>
          <w:tcPr>
            <w:tcW w:type="dxa" w:w="1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travel</w:t>
            </w:r>
          </w:p>
        </w:tc>
        <w:tc>
          <w:tcPr>
            <w:tcW w:type="dxa" w:w="26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Lugares, hoteles, itinerarios</w:t>
            </w:r>
          </w:p>
        </w:tc>
        <w:tc>
          <w:tcPr>
            <w:tcW w:type="dxa" w:w="16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21</w:t>
            </w:r>
          </w:p>
        </w:tc>
        <w:tc>
          <w:tcPr>
            <w:tcW w:type="dxa" w:w="33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Hotel en CDMX, aeropuerto Monterrey</w:t>
            </w:r>
          </w:p>
        </w:tc>
      </w:tr>
      <w:tr>
        <w:tc>
          <w:tcPr>
            <w:tcW w:type="dxa" w:w="1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food</w:t>
            </w:r>
          </w:p>
        </w:tc>
        <w:tc>
          <w:tcPr>
            <w:tcW w:type="dxa" w:w="2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Restaurantes, recetas, platillos</w:t>
            </w:r>
          </w:p>
        </w:tc>
        <w:tc>
          <w:tcPr>
            <w:tcW w:type="dxa" w:w="1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14</w:t>
            </w:r>
          </w:p>
        </w:tc>
        <w:tc>
          <w:tcPr>
            <w:tcW w:type="dxa" w:w="33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Sushi Zona Rosa, Tacos El Franc</w:t>
            </w:r>
          </w:p>
        </w:tc>
      </w:tr>
      <w:tr>
        <w:tc>
          <w:tcPr>
            <w:tcW w:type="dxa" w:w="1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shopping</w:t>
            </w:r>
          </w:p>
        </w:tc>
        <w:tc>
          <w:tcPr>
            <w:tcW w:type="dxa" w:w="26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Productos, precios, comparaciones</w:t>
            </w:r>
          </w:p>
        </w:tc>
        <w:tc>
          <w:tcPr>
            <w:tcW w:type="dxa" w:w="16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14</w:t>
            </w:r>
          </w:p>
        </w:tc>
        <w:tc>
          <w:tcPr>
            <w:tcW w:type="dxa" w:w="33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iPhone 16 Pro en Liverpool, Sony A7</w:t>
            </w:r>
          </w:p>
        </w:tc>
      </w:tr>
      <w:tr>
        <w:tc>
          <w:tcPr>
            <w:tcW w:type="dxa" w:w="1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other</w:t>
            </w:r>
          </w:p>
        </w:tc>
        <w:tc>
          <w:tcPr>
            <w:tcW w:type="dxa" w:w="2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Contenido sin categoría específica</w:t>
            </w:r>
          </w:p>
        </w:tc>
        <w:tc>
          <w:tcPr>
            <w:tcW w:type="dxa" w:w="1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14</w:t>
            </w:r>
          </w:p>
        </w:tc>
        <w:tc>
          <w:tcPr>
            <w:tcW w:type="dxa" w:w="33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Nodo fallback del clasificador</w:t>
            </w:r>
          </w:p>
        </w:tc>
      </w:tr>
      <w:tr>
        <w:tc>
          <w:tcPr>
            <w:tcW w:type="dxa" w:w="1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social</w:t>
            </w:r>
          </w:p>
        </w:tc>
        <w:tc>
          <w:tcPr>
            <w:tcW w:type="dxa" w:w="26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Posts de redes sociales, perfiles</w:t>
            </w:r>
          </w:p>
        </w:tc>
        <w:tc>
          <w:tcPr>
            <w:tcW w:type="dxa" w:w="16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10</w:t>
            </w:r>
          </w:p>
        </w:tc>
        <w:tc>
          <w:tcPr>
            <w:tcW w:type="dxa" w:w="33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Thread de Twitter, post de LinkedIn</w:t>
            </w:r>
          </w:p>
        </w:tc>
      </w:tr>
      <w:tr>
        <w:tc>
          <w:tcPr>
            <w:tcW w:type="dxa" w:w="1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media</w:t>
            </w:r>
          </w:p>
        </w:tc>
        <w:tc>
          <w:tcPr>
            <w:tcW w:type="dxa" w:w="2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Videos, podcasts, entretenimiento</w:t>
            </w:r>
          </w:p>
        </w:tc>
        <w:tc>
          <w:tcPr>
            <w:tcW w:type="dxa" w:w="1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10</w:t>
            </w:r>
          </w:p>
        </w:tc>
        <w:tc>
          <w:tcPr>
            <w:tcW w:type="dxa" w:w="33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Podcast sobre IA, serie en Netflix</w:t>
            </w:r>
          </w:p>
        </w:tc>
      </w:tr>
    </w:tbl>
    <w:p/>
    <w:p>
      <w:pPr>
        <w:pStyle w:val="Heading2"/>
        <w:spacing w:after="120" w:before="280"/>
      </w:pPr>
      <w:r>
        <w:rPr>
          <w:rFonts w:ascii="Calibri" w:cs="Calibri" w:eastAsia="Calibri" w:hAnsi="Calibri"/>
          <w:b/>
          <w:bCs/>
          <w:color w:val="1E1B4B"/>
          <w:sz w:val="36"/>
          <w:szCs w:val="36"/>
        </w:rPr>
        <w:t xml:space="preserve">2.3 NexoSource — Canales de Ingesta</w:t>
      </w:r>
    </w:p>
    <w:tbl>
      <w:tblPr>
        <w:tblW w:type="dxa" w:w="9360"/>
        <w:tblBorders>
          <w:top w:val="single" w:color="C7D2FE" w:sz="1"/>
          <w:left w:val="single" w:color="C7D2FE" w:sz="1"/>
          <w:bottom w:val="single" w:color="C7D2FE" w:sz="1"/>
          <w:right w:val="single" w:color="C7D2FE" w:sz="1"/>
          <w:insideH w:val="single" w:color="auto" w:sz="4"/>
          <w:insideV w:val="single" w:color="auto" w:sz="4"/>
        </w:tblBorders>
      </w:tblPr>
      <w:tblGrid>
        <w:gridCol w:w="100"/>
        <w:gridCol w:w="100"/>
        <w:gridCol w:w="100"/>
      </w:tblGrid>
      <w:tr>
        <w:trPr>
          <w:tblHeader/>
        </w:trPr>
        <w:tc>
          <w:tcPr>
            <w:tcW w:type="dxa" w:w="20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Source</w:t>
            </w:r>
          </w:p>
        </w:tc>
        <w:tc>
          <w:tcPr>
            <w:tcW w:type="dxa" w:w="16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Canal</w:t>
            </w:r>
          </w:p>
        </w:tc>
        <w:tc>
          <w:tcPr>
            <w:tcW w:type="dxa" w:w="576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Descripción</w:t>
            </w:r>
          </w:p>
        </w:tc>
      </w:tr>
      <w:tr>
        <w:tc>
          <w:tcPr>
            <w:tcW w:type="dxa" w:w="2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chrome_extension</w:t>
            </w:r>
          </w:p>
        </w:tc>
        <w:tc>
          <w:tcPr>
            <w:tcW w:type="dxa" w:w="1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Sprint N-1</w:t>
            </w:r>
          </w:p>
        </w:tc>
        <w:tc>
          <w:tcPr>
            <w:tcW w:type="dxa" w:w="57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Extensión de Chrome — captura activa mientras navega</w:t>
            </w:r>
          </w:p>
        </w:tc>
      </w:tr>
      <w:tr>
        <w:tc>
          <w:tcPr>
            <w:tcW w:type="dxa" w:w="2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pwa_share</w:t>
            </w:r>
          </w:p>
        </w:tc>
        <w:tc>
          <w:tcPr>
            <w:tcW w:type="dxa" w:w="16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Sprint N-6</w:t>
            </w:r>
          </w:p>
        </w:tc>
        <w:tc>
          <w:tcPr>
            <w:tcW w:type="dxa" w:w="57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PWA Share Target — compartir desde móvil</w:t>
            </w:r>
          </w:p>
        </w:tc>
      </w:tr>
      <w:tr>
        <w:tc>
          <w:tcPr>
            <w:tcW w:type="dxa" w:w="2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screenshot</w:t>
            </w:r>
          </w:p>
        </w:tc>
        <w:tc>
          <w:tcPr>
            <w:tcW w:type="dxa" w:w="1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Sprint N-2</w:t>
            </w:r>
          </w:p>
        </w:tc>
        <w:tc>
          <w:tcPr>
            <w:tcW w:type="dxa" w:w="57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Imagen/captura de pantalla procesada con Gemini Vision</w:t>
            </w:r>
          </w:p>
        </w:tc>
      </w:tr>
      <w:tr>
        <w:tc>
          <w:tcPr>
            <w:tcW w:type="dxa" w:w="2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manual</w:t>
            </w:r>
          </w:p>
        </w:tc>
        <w:tc>
          <w:tcPr>
            <w:tcW w:type="dxa" w:w="16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Core</w:t>
            </w:r>
          </w:p>
        </w:tc>
        <w:tc>
          <w:tcPr>
            <w:tcW w:type="dxa" w:w="57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Pegado manual en el chat de SOFIAA</w:t>
            </w:r>
          </w:p>
        </w:tc>
      </w:tr>
      <w:tr>
        <w:tc>
          <w:tcPr>
            <w:tcW w:type="dxa" w:w="2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pdf_library</w:t>
            </w:r>
          </w:p>
        </w:tc>
        <w:tc>
          <w:tcPr>
            <w:tcW w:type="dxa" w:w="1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Sprint M-1</w:t>
            </w:r>
          </w:p>
        </w:tc>
        <w:tc>
          <w:tcPr>
            <w:tcW w:type="dxa" w:w="57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Documento PDF subido a la Biblioteca Personal</w:t>
            </w:r>
          </w:p>
        </w:tc>
      </w:tr>
      <w:tr>
        <w:tc>
          <w:tcPr>
            <w:tcW w:type="dxa" w:w="2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tec_bii</w:t>
            </w:r>
          </w:p>
        </w:tc>
        <w:tc>
          <w:tcPr>
            <w:tcW w:type="dxa" w:w="16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Sprint T2-1</w:t>
            </w:r>
          </w:p>
        </w:tc>
        <w:tc>
          <w:tcPr>
            <w:tcW w:type="dxa" w:w="57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Entidades TEC Bii publicadas al grafo (Cognitive Publisher)</w:t>
            </w:r>
          </w:p>
        </w:tc>
      </w:tr>
      <w:tr>
        <w:tc>
          <w:tcPr>
            <w:tcW w:type="dxa" w:w="2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prometeo</w:t>
            </w:r>
          </w:p>
        </w:tc>
        <w:tc>
          <w:tcPr>
            <w:tcW w:type="dxa" w:w="1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Sprint P-1</w:t>
            </w:r>
          </w:p>
        </w:tc>
        <w:tc>
          <w:tcPr>
            <w:tcW w:type="dxa" w:w="57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Brand DNA y entidades PROMETEO (6 nodos por cliente)</w:t>
            </w:r>
          </w:p>
        </w:tc>
      </w:tr>
      <w:tr>
        <w:tc>
          <w:tcPr>
            <w:tcW w:type="dxa" w:w="2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marketing_sofia</w:t>
            </w:r>
          </w:p>
        </w:tc>
        <w:tc>
          <w:tcPr>
            <w:tcW w:type="dxa" w:w="16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Sprint P-8</w:t>
            </w:r>
          </w:p>
        </w:tc>
        <w:tc>
          <w:tcPr>
            <w:tcW w:type="dxa" w:w="57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Clientes y métricas SMM publicadas al grafo</w:t>
            </w:r>
          </w:p>
        </w:tc>
      </w:tr>
    </w:tbl>
    <w:p>
      <w:r>
        <w:br w:type="page"/>
      </w:r>
    </w:p>
    <w:p>
      <w:pPr>
        <w:pStyle w:val="Heading1"/>
        <w:spacing w:after="160" w:before="360"/>
      </w:pPr>
      <w:r>
        <w:rPr>
          <w:rFonts w:ascii="Calibri" w:cs="Calibri" w:eastAsia="Calibri" w:hAnsi="Calibri"/>
          <w:b/>
          <w:bCs/>
          <w:color w:val="0F172A"/>
          <w:sz w:val="48"/>
          <w:szCs w:val="48"/>
        </w:rPr>
        <w:t xml:space="preserve">3. Constantes del Sistema — Parámetros Cognitivos</w:t>
      </w:r>
    </w:p>
    <w:p>
      <w:pPr>
        <w:spacing w:after="80" w:before="80" w:line="320"/>
      </w:pPr>
      <w:r>
        <w:rPr>
          <w:rFonts w:ascii="Calibri" w:cs="Calibri" w:eastAsia="Calibri" w:hAnsi="Calibri"/>
          <w:color w:val="0F172A"/>
          <w:sz w:val="22"/>
          <w:szCs w:val="22"/>
        </w:rPr>
        <w:t xml:space="preserve">N.E.X.O. está gobernado por un conjunto de constantes que definen el comportamiento cognitivo del sistema. Estas constantes son el resultado de un proceso de calibración que equilibra la retención de información útil con el olvido de información irrelevante, y la relevancia semántica con la frecuencia de uso.</w:t>
      </w:r>
    </w:p>
    <w:p/>
    <w:tbl>
      <w:tblPr>
        <w:tblW w:type="dxa" w:w="9360"/>
        <w:tblBorders>
          <w:top w:val="single" w:color="C7D2FE" w:sz="1"/>
          <w:left w:val="single" w:color="C7D2FE" w:sz="1"/>
          <w:bottom w:val="single" w:color="C7D2FE" w:sz="1"/>
          <w:right w:val="single" w:color="C7D2FE" w:sz="1"/>
          <w:insideH w:val="single" w:color="auto" w:sz="4"/>
          <w:insideV w:val="single" w:color="auto" w:sz="4"/>
        </w:tblBorders>
      </w:tblPr>
      <w:tblGrid>
        <w:gridCol w:w="100"/>
        <w:gridCol w:w="100"/>
        <w:gridCol w:w="100"/>
      </w:tblGrid>
      <w:tr>
        <w:trPr>
          <w:tblHeader/>
        </w:trPr>
        <w:tc>
          <w:tcPr>
            <w:tcW w:type="dxa" w:w="28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Constante</w:t>
            </w:r>
          </w:p>
        </w:tc>
        <w:tc>
          <w:tcPr>
            <w:tcW w:type="dxa" w:w="14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Valor</w:t>
            </w:r>
          </w:p>
        </w:tc>
        <w:tc>
          <w:tcPr>
            <w:tcW w:type="dxa" w:w="516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Propósito</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NEXO_INITIAL_WEIGHT</w:t>
            </w:r>
          </w:p>
        </w:tc>
        <w:tc>
          <w:tcPr>
            <w:tcW w:type="dxa" w:w="1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0.60</w:t>
            </w:r>
          </w:p>
        </w:tc>
        <w:tc>
          <w:tcPr>
            <w:tcW w:type="dxa" w:w="51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Peso inicial de todo nodo nuevo — 'relevante por defecto'</w:t>
            </w:r>
          </w:p>
        </w:tc>
      </w:tr>
      <w:tr>
        <w:tc>
          <w:tcPr>
            <w:tcW w:type="dxa" w:w="2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NEXO_DECAY_RATE</w:t>
            </w:r>
          </w:p>
        </w:tc>
        <w:tc>
          <w:tcPr>
            <w:tcW w:type="dxa" w:w="14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0.05</w:t>
            </w:r>
          </w:p>
        </w:tc>
        <w:tc>
          <w:tcPr>
            <w:tcW w:type="dxa" w:w="51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Tasa de decaimiento por defecto para capturas web</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NEXO_PRUNE_THRESHOLD</w:t>
            </w:r>
          </w:p>
        </w:tc>
        <w:tc>
          <w:tcPr>
            <w:tcW w:type="dxa" w:w="1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0.05</w:t>
            </w:r>
          </w:p>
        </w:tc>
        <w:tc>
          <w:tcPr>
            <w:tcW w:type="dxa" w:w="51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Peso mínimo antes de eliminación definitiva (olvido)</w:t>
            </w:r>
          </w:p>
        </w:tc>
      </w:tr>
      <w:tr>
        <w:tc>
          <w:tcPr>
            <w:tcW w:type="dxa" w:w="2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NEXO_MAX_CONTEXT_NODES</w:t>
            </w:r>
          </w:p>
        </w:tc>
        <w:tc>
          <w:tcPr>
            <w:tcW w:type="dxa" w:w="14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5</w:t>
            </w:r>
          </w:p>
        </w:tc>
        <w:tc>
          <w:tcPr>
            <w:tcW w:type="dxa" w:w="51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Nodos máximos inyectados en el system prompt por conversación</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NEXO_PROACTIVE_THRESHOLD</w:t>
            </w:r>
          </w:p>
        </w:tc>
        <w:tc>
          <w:tcPr>
            <w:tcW w:type="dxa" w:w="1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0.65</w:t>
            </w:r>
          </w:p>
        </w:tc>
        <w:tc>
          <w:tcPr>
            <w:tcW w:type="dxa" w:w="51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Score mínimo para activar mención proactiva por SOFIAA</w:t>
            </w:r>
          </w:p>
        </w:tc>
      </w:tr>
      <w:tr>
        <w:tc>
          <w:tcPr>
            <w:tcW w:type="dxa" w:w="2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NEXO_MAX_PROACTIVE_NODES</w:t>
            </w:r>
          </w:p>
        </w:tc>
        <w:tc>
          <w:tcPr>
            <w:tcW w:type="dxa" w:w="14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2</w:t>
            </w:r>
          </w:p>
        </w:tc>
        <w:tc>
          <w:tcPr>
            <w:tcW w:type="dxa" w:w="51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Máx nodos proactivos por request — evita saturar el prompt</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ATTEND_DELTA</w:t>
            </w:r>
          </w:p>
        </w:tc>
        <w:tc>
          <w:tcPr>
            <w:tcW w:type="dxa" w:w="1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0.03</w:t>
            </w:r>
          </w:p>
        </w:tc>
        <w:tc>
          <w:tcPr>
            <w:tcW w:type="dxa" w:w="51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Boost de peso por atención del Attention Engine</w:t>
            </w:r>
          </w:p>
        </w:tc>
      </w:tr>
      <w:tr>
        <w:tc>
          <w:tcPr>
            <w:tcW w:type="dxa" w:w="2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Refuerzo manual</w:t>
            </w:r>
          </w:p>
        </w:tc>
        <w:tc>
          <w:tcPr>
            <w:tcW w:type="dxa" w:w="14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0.20</w:t>
            </w:r>
          </w:p>
        </w:tc>
        <w:tc>
          <w:tcPr>
            <w:tcW w:type="dxa" w:w="51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Boost cuando SOFIAA referencia explícitamente un nodo</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Boost por upsert (URL dup)</w:t>
            </w:r>
          </w:p>
        </w:tc>
        <w:tc>
          <w:tcPr>
            <w:tcW w:type="dxa" w:w="1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0.15</w:t>
            </w:r>
          </w:p>
        </w:tc>
        <w:tc>
          <w:tcPr>
            <w:tcW w:type="dxa" w:w="51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Boost al capturar una URL ya existente en el grafo</w:t>
            </w:r>
          </w:p>
        </w:tc>
      </w:tr>
      <w:tr>
        <w:tc>
          <w:tcPr>
            <w:tcW w:type="dxa" w:w="2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decayRate insights</w:t>
            </w:r>
          </w:p>
        </w:tc>
        <w:tc>
          <w:tcPr>
            <w:tcW w:type="dxa" w:w="14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0.02</w:t>
            </w:r>
          </w:p>
        </w:tc>
        <w:tc>
          <w:tcPr>
            <w:tcW w:type="dxa" w:w="51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Tasa de decay para nodos tipo 'insight' — duran más</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decayRate PDFs</w:t>
            </w:r>
          </w:p>
        </w:tc>
        <w:tc>
          <w:tcPr>
            <w:tcW w:type="dxa" w:w="1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0.02</w:t>
            </w:r>
          </w:p>
        </w:tc>
        <w:tc>
          <w:tcPr>
            <w:tcW w:type="dxa" w:w="51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Tasa de decay para nodos de biblioteca PDF</w:t>
            </w:r>
          </w:p>
        </w:tc>
      </w:tr>
      <w:tr>
        <w:tc>
          <w:tcPr>
            <w:tcW w:type="dxa" w:w="2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weight PDFs inicial</w:t>
            </w:r>
          </w:p>
        </w:tc>
        <w:tc>
          <w:tcPr>
            <w:tcW w:type="dxa" w:w="14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0.75</w:t>
            </w:r>
          </w:p>
        </w:tc>
        <w:tc>
          <w:tcPr>
            <w:tcW w:type="dxa" w:w="51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Peso inicial mayor para documentos subidos intencionalmente</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weight insights inicial</w:t>
            </w:r>
          </w:p>
        </w:tc>
        <w:tc>
          <w:tcPr>
            <w:tcW w:type="dxa" w:w="1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0.85</w:t>
            </w:r>
          </w:p>
        </w:tc>
        <w:tc>
          <w:tcPr>
            <w:tcW w:type="dxa" w:w="51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Peso alto — los insights son conocimiento sintetizado</w:t>
            </w:r>
          </w:p>
        </w:tc>
      </w:tr>
    </w:tbl>
    <w:p>
      <w:r>
        <w:br w:type="page"/>
      </w:r>
    </w:p>
    <w:p>
      <w:pPr>
        <w:pStyle w:val="Heading1"/>
        <w:spacing w:after="160" w:before="360"/>
      </w:pPr>
      <w:r>
        <w:rPr>
          <w:rFonts w:ascii="Calibri" w:cs="Calibri" w:eastAsia="Calibri" w:hAnsi="Calibri"/>
          <w:b/>
          <w:bCs/>
          <w:color w:val="0F172A"/>
          <w:sz w:val="48"/>
          <w:szCs w:val="48"/>
        </w:rPr>
        <w:t xml:space="preserve">4. LLM Classifier — Motor de Clasificación (Sprint N-2)</w:t>
      </w:r>
    </w:p>
    <w:p>
      <w:pPr>
        <w:spacing w:after="80" w:before="80" w:line="320"/>
      </w:pPr>
      <w:r>
        <w:rPr>
          <w:rFonts w:ascii="Calibri" w:cs="Calibri" w:eastAsia="Calibri" w:hAnsi="Calibri"/>
          <w:color w:val="0F172A"/>
          <w:sz w:val="22"/>
          <w:szCs w:val="22"/>
        </w:rPr>
        <w:t xml:space="preserve">El LLM Classifier es el primer motor que procesa cada captura. Su función es transformar contenido web crudo (URL, título, texto DOM) en un NexoNode estructurado con semántica rica. Opera con Groq (llama-3.3-70b-versatile) en modo JSON estricto, con temperatura 0.1 para máxima consistencia en la clasificación.</w:t>
      </w:r>
    </w:p>
    <w:p/>
    <w:p>
      <w:pPr>
        <w:pStyle w:val="Heading2"/>
        <w:spacing w:after="120" w:before="280"/>
      </w:pPr>
      <w:r>
        <w:rPr>
          <w:rFonts w:ascii="Calibri" w:cs="Calibri" w:eastAsia="Calibri" w:hAnsi="Calibri"/>
          <w:b/>
          <w:bCs/>
          <w:color w:val="1E1B4B"/>
          <w:sz w:val="36"/>
          <w:szCs w:val="36"/>
        </w:rPr>
        <w:t xml:space="preserve">4.1 Pipeline de Ingesta</w:t>
      </w:r>
    </w:p>
    <w:p>
      <w:pPr>
        <w:spacing w:after="80" w:before="80" w:line="320"/>
      </w:pPr>
      <w:r>
        <w:rPr>
          <w:rFonts w:ascii="Calibri" w:cs="Calibri" w:eastAsia="Calibri" w:hAnsi="Calibri"/>
          <w:color w:val="0F172A"/>
          <w:sz w:val="22"/>
          <w:szCs w:val="22"/>
        </w:rPr>
        <w:t xml:space="preserve">El endpoint POST /api/nexo/ingest orquesta 7 pasos, todos serverless (Next.js API route, runtime nodejs):</w:t>
      </w:r>
    </w:p>
    <w:p>
      <w:pPr>
        <w:spacing w:after="60" w:before="60"/>
        <w:ind w:left="360"/>
      </w:pPr>
      <w:r>
        <w:rPr>
          <w:rFonts w:ascii="Courier New" w:cs="Courier New" w:eastAsia="Courier New" w:hAnsi="Courier New"/>
          <w:color w:val="166534"/>
          <w:sz w:val="18"/>
          <w:szCs w:val="18"/>
        </w:rPr>
        <w:t xml:space="preserve">1. Auth: verifyIdToken(Firebase) → uid</w:t>
      </w:r>
    </w:p>
    <w:p>
      <w:pPr>
        <w:spacing w:after="60" w:before="60"/>
        <w:ind w:left="360"/>
      </w:pPr>
      <w:r>
        <w:rPr>
          <w:rFonts w:ascii="Courier New" w:cs="Courier New" w:eastAsia="Courier New" w:hAnsi="Courier New"/>
          <w:color w:val="166534"/>
          <w:sz w:val="18"/>
          <w:szCs w:val="18"/>
        </w:rPr>
        <w:t xml:space="preserve">2. Parse + Validar: title, text, source, capturedAt requeridos</w:t>
      </w:r>
    </w:p>
    <w:p>
      <w:pPr>
        <w:spacing w:after="60" w:before="60"/>
        <w:ind w:left="360"/>
      </w:pPr>
      <w:r>
        <w:rPr>
          <w:rFonts w:ascii="Courier New" w:cs="Courier New" w:eastAsia="Courier New" w:hAnsi="Courier New"/>
          <w:color w:val="166534"/>
          <w:sz w:val="18"/>
          <w:szCs w:val="18"/>
        </w:rPr>
        <w:t xml:space="preserve">3. Sanitizar: title.slice(0,300), text.slice(0,8000)</w:t>
      </w:r>
    </w:p>
    <w:p>
      <w:pPr>
        <w:spacing w:after="60" w:before="60"/>
        <w:ind w:left="360"/>
      </w:pPr>
      <w:r>
        <w:rPr>
          <w:rFonts w:ascii="Courier New" w:cs="Courier New" w:eastAsia="Courier New" w:hAnsi="Courier New"/>
          <w:color w:val="166534"/>
          <w:sz w:val="18"/>
          <w:szCs w:val="18"/>
        </w:rPr>
        <w:t xml:space="preserve">4. classifyNexoPayload(clean) → { category, importanceScore, summary, entities, slug }</w:t>
      </w:r>
    </w:p>
    <w:p>
      <w:pPr>
        <w:spacing w:after="60" w:before="60"/>
        <w:ind w:left="360"/>
      </w:pPr>
      <w:r>
        <w:rPr>
          <w:rFonts w:ascii="Courier New" w:cs="Courier New" w:eastAsia="Courier New" w:hAnsi="Courier New"/>
          <w:color w:val="166534"/>
          <w:sz w:val="18"/>
          <w:szCs w:val="18"/>
        </w:rPr>
        <w:t xml:space="preserve">5. nodeId = 'nexo:{category}:{slug}'</w:t>
      </w:r>
    </w:p>
    <w:p>
      <w:pPr>
        <w:spacing w:after="60" w:before="60"/>
        <w:ind w:left="360"/>
      </w:pPr>
      <w:r>
        <w:rPr>
          <w:rFonts w:ascii="Courier New" w:cs="Courier New" w:eastAsia="Courier New" w:hAnsi="Courier New"/>
          <w:color w:val="166534"/>
          <w:sz w:val="18"/>
          <w:szCs w:val="18"/>
        </w:rPr>
        <w:t xml:space="preserve">6. generateEmbedding(title + '. ' + summary) → embedding vector (Sprint M-4)</w:t>
      </w:r>
    </w:p>
    <w:p>
      <w:pPr>
        <w:spacing w:after="60" w:before="60"/>
        <w:ind w:left="360"/>
      </w:pPr>
      <w:r>
        <w:rPr>
          <w:rFonts w:ascii="Courier New" w:cs="Courier New" w:eastAsia="Courier New" w:hAnsi="Courier New"/>
          <w:color w:val="166534"/>
          <w:sz w:val="18"/>
          <w:szCs w:val="18"/>
        </w:rPr>
        <w:t xml:space="preserve">7. upsertNexoNode(uid, node) → guarda o refuerza si URL ya existe</w:t>
      </w:r>
    </w:p>
    <w:p>
      <w:pPr>
        <w:spacing w:after="60" w:before="60"/>
        <w:ind w:left="360"/>
      </w:pPr>
      <w:r>
        <w:rPr>
          <w:rFonts w:ascii="Courier New" w:cs="Courier New" w:eastAsia="Courier New" w:hAnsi="Courier New"/>
          <w:color w:val="166534"/>
          <w:sz w:val="18"/>
          <w:szCs w:val="18"/>
        </w:rPr>
        <w:t xml:space="preserve">8. logNexoEvent(uid, event) → registro para N.O.R.A.</w:t>
      </w:r>
    </w:p>
    <w:p/>
    <w:p>
      <w:pPr>
        <w:pStyle w:val="Heading2"/>
        <w:spacing w:after="120" w:before="280"/>
      </w:pPr>
      <w:r>
        <w:rPr>
          <w:rFonts w:ascii="Calibri" w:cs="Calibri" w:eastAsia="Calibri" w:hAnsi="Calibri"/>
          <w:b/>
          <w:bCs/>
          <w:color w:val="1E1B4B"/>
          <w:sz w:val="36"/>
          <w:szCs w:val="36"/>
        </w:rPr>
        <w:t xml:space="preserve">4.2 Prompt del Clasificador</w:t>
      </w:r>
    </w:p>
    <w:p>
      <w:pPr>
        <w:spacing w:after="80" w:before="80" w:line="320"/>
      </w:pPr>
      <w:r>
        <w:rPr>
          <w:rFonts w:ascii="Calibri" w:cs="Calibri" w:eastAsia="Calibri" w:hAnsi="Calibri"/>
          <w:color w:val="0F172A"/>
          <w:sz w:val="22"/>
          <w:szCs w:val="22"/>
        </w:rPr>
        <w:t xml:space="preserve">El clasificador usa un system prompt de 13 líneas con reglas explícitas de categorización y un prompt de usuario que incluye URL, título, fuente y hasta 3,000 caracteres del texto DOM. La respuesta JSON contiene: category, importanceScore (0.0-1.0), summary (≤200 chars en español), entities (place/person/product/price/brand/hashtags), y slug en kebab-case sin acentos.</w:t>
      </w:r>
    </w:p>
    <w:p/>
    <w:p>
      <w:pPr>
        <w:pStyle w:val="Heading2"/>
        <w:spacing w:after="120" w:before="280"/>
      </w:pPr>
      <w:r>
        <w:rPr>
          <w:rFonts w:ascii="Calibri" w:cs="Calibri" w:eastAsia="Calibri" w:hAnsi="Calibri"/>
          <w:b/>
          <w:bCs/>
          <w:color w:val="1E1B4B"/>
          <w:sz w:val="36"/>
          <w:szCs w:val="36"/>
        </w:rPr>
        <w:t xml:space="preserve">4.3 Fallback Heurístico</w:t>
      </w:r>
    </w:p>
    <w:p>
      <w:pPr>
        <w:spacing w:after="80" w:before="80" w:line="320"/>
      </w:pPr>
      <w:r>
        <w:rPr>
          <w:rFonts w:ascii="Calibri" w:cs="Calibri" w:eastAsia="Calibri" w:hAnsi="Calibri"/>
          <w:color w:val="0F172A"/>
          <w:sz w:val="22"/>
          <w:szCs w:val="22"/>
        </w:rPr>
        <w:t xml:space="preserve">Si Groq no responde o devuelve JSON inválido, el sistema activa heuristicClassify(): un clasificador rule-based con regex en español que detecta restaurantes (restau|comida|taco|sushi), shopping (precio|compra|tienda), viajes (hotel|vuelo|airbnb), investigación (paper|estudio|análisis), trabajo (proyecto|empresa|cliente), social (instagram|twitter|linkedin) y media (youtube|spotify|netflix). Retorna importanceScore=0.5 sin llamar al LLM.</w:t>
      </w:r>
    </w:p>
    <w:p/>
    <w:p>
      <w:pPr>
        <w:pStyle w:val="Heading2"/>
        <w:spacing w:after="120" w:before="280"/>
      </w:pPr>
      <w:r>
        <w:rPr>
          <w:rFonts w:ascii="Calibri" w:cs="Calibri" w:eastAsia="Calibri" w:hAnsi="Calibri"/>
          <w:b/>
          <w:bCs/>
          <w:color w:val="1E1B4B"/>
          <w:sz w:val="36"/>
          <w:szCs w:val="36"/>
        </w:rPr>
        <w:t xml:space="preserve">4.4 Deduplicación por URL</w:t>
      </w:r>
    </w:p>
    <w:p>
      <w:pPr>
        <w:spacing w:after="80" w:before="80" w:line="320"/>
      </w:pPr>
      <w:r>
        <w:rPr>
          <w:rFonts w:ascii="Calibri" w:cs="Calibri" w:eastAsia="Calibri" w:hAnsi="Calibri"/>
          <w:color w:val="0F172A"/>
          <w:sz w:val="22"/>
          <w:szCs w:val="22"/>
        </w:rPr>
        <w:t xml:space="preserve">upsertNexoNode() verifica si ya existe un nodo con la misma URL antes de crear uno nuevo. Si existe, en lugar de duplicar aplica un boost de +0.15 al peso y actualiza lastReinforced. Este mecanismo evita la proliferación de nodos redundantes cuando el usuario visita la misma página múltiples veces, reforzando en cambio su relevancia.</w:t>
      </w:r>
    </w:p>
    <w:p>
      <w:r>
        <w:br w:type="page"/>
      </w:r>
    </w:p>
    <w:p>
      <w:pPr>
        <w:pStyle w:val="Heading1"/>
        <w:spacing w:after="160" w:before="360"/>
      </w:pPr>
      <w:r>
        <w:rPr>
          <w:rFonts w:ascii="Calibri" w:cs="Calibri" w:eastAsia="Calibri" w:hAnsi="Calibri"/>
          <w:b/>
          <w:bCs/>
          <w:color w:val="0F172A"/>
          <w:sz w:val="48"/>
          <w:szCs w:val="48"/>
        </w:rPr>
        <w:t xml:space="preserve">5. Decay Engine — Olvido Adaptativo (Sprint N-3)</w:t>
      </w:r>
    </w:p>
    <w:p>
      <w:pPr>
        <w:spacing w:after="80" w:before="80" w:line="320"/>
      </w:pPr>
      <w:r>
        <w:rPr>
          <w:rFonts w:ascii="Calibri" w:cs="Calibri" w:eastAsia="Calibri" w:hAnsi="Calibri"/>
          <w:color w:val="0F172A"/>
          <w:sz w:val="22"/>
          <w:szCs w:val="22"/>
        </w:rPr>
        <w:t xml:space="preserve">El Decay Engine implementa olvido cognitivo inspirado en la curva de Ebbinghaus. No todos los nodos decaen igual: la categoría del contenido determina su 'media vida' (half-life), reflejando la naturaleza volátil o estable del tipo de información. Un post de redes sociales se vuelve irrelevante en días; el Brand DNA de un cliente puede mantenerse relevante por meses.</w:t>
      </w:r>
    </w:p>
    <w:p/>
    <w:p>
      <w:pPr>
        <w:pStyle w:val="Heading2"/>
        <w:spacing w:after="120" w:before="280"/>
      </w:pPr>
      <w:r>
        <w:rPr>
          <w:rFonts w:ascii="Calibri" w:cs="Calibri" w:eastAsia="Calibri" w:hAnsi="Calibri"/>
          <w:b/>
          <w:bCs/>
          <w:color w:val="1E1B4B"/>
          <w:sz w:val="36"/>
          <w:szCs w:val="36"/>
        </w:rPr>
        <w:t xml:space="preserve">5.1 Fórmula de Decaimiento Exponencial</w:t>
      </w:r>
    </w:p>
    <w:p>
      <w:pPr>
        <w:spacing w:after="80" w:before="80" w:line="320"/>
      </w:pPr>
      <w:r>
        <w:rPr>
          <w:rFonts w:ascii="Calibri" w:cs="Calibri" w:eastAsia="Calibri" w:hAnsi="Calibri"/>
          <w:color w:val="0F172A"/>
          <w:sz w:val="22"/>
          <w:szCs w:val="22"/>
        </w:rPr>
        <w:t xml:space="preserve">El sistema usa decaimiento exponencial con lambda adaptativo por categoría. La fórmula es matemáticamente equivalente a la curva de retención de Ebbinghaus a nivel individual:</w:t>
      </w:r>
    </w:p>
    <w:p>
      <w:pPr>
        <w:spacing w:after="60" w:before="60"/>
        <w:ind w:left="360"/>
      </w:pPr>
      <w:r>
        <w:rPr>
          <w:rFonts w:ascii="Courier New" w:cs="Courier New" w:eastAsia="Courier New" w:hAnsi="Courier New"/>
          <w:color w:val="166534"/>
          <w:sz w:val="18"/>
          <w:szCs w:val="18"/>
        </w:rPr>
        <w:t xml:space="preserve">λ = ln(2) / halfLifeDays        // Lambda basado en la media vida de la categoría</w:t>
      </w:r>
    </w:p>
    <w:p>
      <w:pPr>
        <w:spacing w:after="60" w:before="60"/>
        <w:ind w:left="360"/>
      </w:pPr>
      <w:r>
        <w:rPr>
          <w:rFonts w:ascii="Courier New" w:cs="Courier New" w:eastAsia="Courier New" w:hAnsi="Courier New"/>
          <w:color w:val="166534"/>
          <w:sz w:val="18"/>
          <w:szCs w:val="18"/>
        </w:rPr>
        <w:t xml:space="preserve">newWeight = weight × e^(−λ × daysSinceLastReinforced)</w:t>
      </w:r>
    </w:p>
    <w:p/>
    <w:p>
      <w:pPr>
        <w:spacing w:after="80" w:before="80" w:line="320"/>
      </w:pPr>
      <w:r>
        <w:rPr>
          <w:rFonts w:ascii="Calibri" w:cs="Calibri" w:eastAsia="Calibri" w:hAnsi="Calibri"/>
          <w:color w:val="0F172A"/>
          <w:sz w:val="22"/>
          <w:szCs w:val="22"/>
        </w:rPr>
        <w:t xml:space="preserve">Donde daysSinceLastReinforced = (Date.now() − lastReinforced) / 86_400_000. El campo lastReinforced se resetea cada vez que el Attention Engine refuerza el nodo, reiniciando efectivamente el reloj del decay — igual que la repetición espaciada en técnicas de estudio.</w:t>
      </w:r>
    </w:p>
    <w:p/>
    <w:p>
      <w:pPr>
        <w:pStyle w:val="Heading2"/>
        <w:spacing w:after="120" w:before="280"/>
      </w:pPr>
      <w:r>
        <w:rPr>
          <w:rFonts w:ascii="Calibri" w:cs="Calibri" w:eastAsia="Calibri" w:hAnsi="Calibri"/>
          <w:b/>
          <w:bCs/>
          <w:color w:val="1E1B4B"/>
          <w:sz w:val="36"/>
          <w:szCs w:val="36"/>
        </w:rPr>
        <w:t xml:space="preserve">5.2 CRON Schedule — Vercel 3 AM CST</w:t>
      </w:r>
    </w:p>
    <w:p>
      <w:pPr>
        <w:spacing w:after="80" w:before="80" w:line="320"/>
      </w:pPr>
      <w:r>
        <w:rPr>
          <w:rFonts w:ascii="Calibri" w:cs="Calibri" w:eastAsia="Calibri" w:hAnsi="Calibri"/>
          <w:color w:val="0F172A"/>
          <w:sz w:val="22"/>
          <w:szCs w:val="22"/>
        </w:rPr>
        <w:t xml:space="preserve">El Decay Engine corre como Vercel Cron Job a las 9:00 AM UTC (equivalente a las 3:00 AM CST México). La cadencia diaria garantiza que el sistema actualice pesos cada 24 horas sin acumulación de deuda de decaimiento. El endpoint GET /api/nexo/decay usa collectionGroup('nexo_nodes') para descubrir automáticamente todos los UIDs con nodos activos, procesa cada usuario secuencialmente para evitar exceder cuotas de escritura, y registra un NexoEvent de tipo 'pruned' por cada eliminación para el panel N.O.R.A.</w:t>
      </w:r>
    </w:p>
    <w:p/>
    <w:p>
      <w:pPr>
        <w:pStyle w:val="Heading2"/>
        <w:spacing w:after="120" w:before="280"/>
      </w:pPr>
      <w:r>
        <w:rPr>
          <w:rFonts w:ascii="Calibri" w:cs="Calibri" w:eastAsia="Calibri" w:hAnsi="Calibri"/>
          <w:b/>
          <w:bCs/>
          <w:color w:val="1E1B4B"/>
          <w:sz w:val="36"/>
          <w:szCs w:val="36"/>
        </w:rPr>
        <w:t xml:space="preserve">5.3 Proceso por Usuario</w:t>
      </w:r>
    </w:p>
    <w:tbl>
      <w:tblPr>
        <w:tblW w:type="dxa" w:w="9360"/>
        <w:tblBorders>
          <w:top w:val="single" w:color="C7D2FE" w:sz="1"/>
          <w:left w:val="single" w:color="C7D2FE" w:sz="1"/>
          <w:bottom w:val="single" w:color="C7D2FE" w:sz="1"/>
          <w:right w:val="single" w:color="C7D2FE" w:sz="1"/>
          <w:insideH w:val="single" w:color="auto" w:sz="4"/>
          <w:insideV w:val="single" w:color="auto" w:sz="4"/>
        </w:tblBorders>
      </w:tblPr>
      <w:tblGrid>
        <w:gridCol w:w="100"/>
        <w:gridCol w:w="100"/>
        <w:gridCol w:w="100"/>
      </w:tblGrid>
      <w:tr>
        <w:trPr>
          <w:tblHeader/>
        </w:trPr>
        <w:tc>
          <w:tcPr>
            <w:tcW w:type="dxa" w:w="10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Paso</w:t>
            </w:r>
          </w:p>
        </w:tc>
        <w:tc>
          <w:tcPr>
            <w:tcW w:type="dxa" w:w="30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Operación</w:t>
            </w:r>
          </w:p>
        </w:tc>
        <w:tc>
          <w:tcPr>
            <w:tcW w:type="dxa" w:w="536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Resultado</w:t>
            </w:r>
          </w:p>
        </w:tc>
      </w:tr>
      <w:tr>
        <w:tc>
          <w:tcPr>
            <w:tcW w:type="dxa" w:w="1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1. Fetch</w:t>
            </w:r>
          </w:p>
        </w:tc>
        <w:tc>
          <w:tcPr>
            <w:tcW w:type="dxa" w:w="3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col.get() — todos los nodos del usuario</w:t>
            </w:r>
          </w:p>
        </w:tc>
        <w:tc>
          <w:tcPr>
            <w:tcW w:type="dxa" w:w="53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Array de NexoNode con peso actual</w:t>
            </w:r>
          </w:p>
        </w:tc>
      </w:tr>
      <w:tr>
        <w:tc>
          <w:tcPr>
            <w:tcW w:type="dxa" w:w="1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2. Calcular</w:t>
            </w:r>
          </w:p>
        </w:tc>
        <w:tc>
          <w:tcPr>
            <w:tcW w:type="dxa" w:w="3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λ adaptativo por category + días transcurridos</w:t>
            </w:r>
          </w:p>
        </w:tc>
        <w:tc>
          <w:tcPr>
            <w:tcW w:type="dxa" w:w="53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newWeight por nodo</w:t>
            </w:r>
          </w:p>
        </w:tc>
      </w:tr>
      <w:tr>
        <w:tc>
          <w:tcPr>
            <w:tcW w:type="dxa" w:w="1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3. Decisión</w:t>
            </w:r>
          </w:p>
        </w:tc>
        <w:tc>
          <w:tcPr>
            <w:tcW w:type="dxa" w:w="3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newWeight &lt; NEXO_PRUNE_THRESHOLD (0.05)?</w:t>
            </w:r>
          </w:p>
        </w:tc>
        <w:tc>
          <w:tcPr>
            <w:tcW w:type="dxa" w:w="53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Si sí → eliminar; si no → actualizar</w:t>
            </w:r>
          </w:p>
        </w:tc>
      </w:tr>
      <w:tr>
        <w:tc>
          <w:tcPr>
            <w:tcW w:type="dxa" w:w="1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4. Batch</w:t>
            </w:r>
          </w:p>
        </w:tc>
        <w:tc>
          <w:tcPr>
            <w:tcW w:type="dxa" w:w="3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db.batch() con updates + deletes</w:t>
            </w:r>
          </w:p>
        </w:tc>
        <w:tc>
          <w:tcPr>
            <w:tcW w:type="dxa" w:w="53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Escritura atómica a Firestore</w:t>
            </w:r>
          </w:p>
        </w:tc>
      </w:tr>
      <w:tr>
        <w:tc>
          <w:tcPr>
            <w:tcW w:type="dxa" w:w="1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5. Log</w:t>
            </w:r>
          </w:p>
        </w:tc>
        <w:tc>
          <w:tcPr>
            <w:tcW w:type="dxa" w:w="3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logNexoEvent si pruned &gt; 0</w:t>
            </w:r>
          </w:p>
        </w:tc>
        <w:tc>
          <w:tcPr>
            <w:tcW w:type="dxa" w:w="53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Registro de olvido en N.O.R.A.</w:t>
            </w:r>
          </w:p>
        </w:tc>
      </w:tr>
    </w:tbl>
    <w:p>
      <w:r>
        <w:br w:type="page"/>
      </w:r>
    </w:p>
    <w:p>
      <w:pPr>
        <w:pStyle w:val="Heading1"/>
        <w:spacing w:after="160" w:before="360"/>
      </w:pPr>
      <w:r>
        <w:rPr>
          <w:rFonts w:ascii="Calibri" w:cs="Calibri" w:eastAsia="Calibri" w:hAnsi="Calibri"/>
          <w:b/>
          <w:bCs/>
          <w:color w:val="0F172A"/>
          <w:sz w:val="48"/>
          <w:szCs w:val="48"/>
        </w:rPr>
        <w:t xml:space="preserve">6. Context Injection — Inyección en System Prompt (Sprint N-4)</w:t>
      </w:r>
    </w:p>
    <w:p>
      <w:pPr>
        <w:spacing w:after="80" w:before="80" w:line="320"/>
      </w:pPr>
      <w:r>
        <w:rPr>
          <w:rFonts w:ascii="Calibri" w:cs="Calibri" w:eastAsia="Calibri" w:hAnsi="Calibri"/>
          <w:color w:val="0F172A"/>
          <w:sz w:val="22"/>
          <w:szCs w:val="22"/>
        </w:rPr>
        <w:t xml:space="preserve">Context Injection es el mecanismo que conecta el grafo de memoria con las conversaciones de SOFIAA. Antes de cada respuesta del LLM, el sistema recupera los nodos más relevantes del grafo del usuario y los inyecta en el system prompt, dándole a SOFIAA acceso a la memoria personal del usuario sin que este tenga que mencionarla explícitamente.</w:t>
      </w:r>
    </w:p>
    <w:p/>
    <w:p>
      <w:pPr>
        <w:pStyle w:val="Heading2"/>
        <w:spacing w:after="120" w:before="280"/>
      </w:pPr>
      <w:r>
        <w:rPr>
          <w:rFonts w:ascii="Calibri" w:cs="Calibri" w:eastAsia="Calibri" w:hAnsi="Calibri"/>
          <w:b/>
          <w:bCs/>
          <w:color w:val="1E1B4B"/>
          <w:sz w:val="36"/>
          <w:szCs w:val="36"/>
        </w:rPr>
        <w:t xml:space="preserve">6.1 getSemanticNexoContext() — Función Principal (Sprint M-4)</w:t>
      </w:r>
    </w:p>
    <w:p>
      <w:pPr>
        <w:spacing w:after="80" w:before="80" w:line="320"/>
      </w:pPr>
      <w:r>
        <w:rPr>
          <w:rFonts w:ascii="Calibri" w:cs="Calibri" w:eastAsia="Calibri" w:hAnsi="Calibri"/>
          <w:color w:val="0F172A"/>
          <w:sz w:val="22"/>
          <w:szCs w:val="22"/>
        </w:rPr>
        <w:t xml:space="preserve">La función getSemanticNexoContext(uid, queryText, limit=5) implementa el retrieval semántico híbrido. Recibe el texto del último mensaje del usuario como queryText y devuelve un NexoContext con los 5 nodos más relevantes. El flujo es:</w:t>
      </w:r>
    </w:p>
    <w:p>
      <w:pPr>
        <w:spacing w:after="60" w:before="60"/>
        <w:ind w:left="360"/>
      </w:pPr>
      <w:r>
        <w:rPr>
          <w:rFonts w:ascii="Courier New" w:cs="Courier New" w:eastAsia="Courier New" w:hAnsi="Courier New"/>
          <w:color w:val="166534"/>
          <w:sz w:val="18"/>
          <w:szCs w:val="18"/>
        </w:rPr>
        <w:t xml:space="preserve">1. Fetch todos los nodos activos (weight &gt; 0.05) sin ORDER BY → permite re-rankear en memoria</w:t>
      </w:r>
    </w:p>
    <w:p>
      <w:pPr>
        <w:spacing w:after="60" w:before="60"/>
        <w:ind w:left="360"/>
      </w:pPr>
      <w:r>
        <w:rPr>
          <w:rFonts w:ascii="Courier New" w:cs="Courier New" w:eastAsia="Courier New" w:hAnsi="Courier New"/>
          <w:color w:val="166534"/>
          <w:sz w:val="18"/>
          <w:szCs w:val="18"/>
        </w:rPr>
        <w:t xml:space="preserve">2. generateQueryEmbedding(queryText) → vector semántico de la query</w:t>
      </w:r>
    </w:p>
    <w:p>
      <w:pPr>
        <w:spacing w:after="60" w:before="60"/>
        <w:ind w:left="360"/>
      </w:pPr>
      <w:r>
        <w:rPr>
          <w:rFonts w:ascii="Courier New" w:cs="Courier New" w:eastAsia="Courier New" w:hAnsi="Courier New"/>
          <w:color w:val="166534"/>
          <w:sz w:val="18"/>
          <w:szCs w:val="18"/>
        </w:rPr>
        <w:t xml:space="preserve">3. Para cada nodo: score = hybridScore(queryEmbedding, node.embedding, node.weight)</w:t>
      </w:r>
    </w:p>
    <w:p>
      <w:pPr>
        <w:spacing w:after="60" w:before="60"/>
        <w:ind w:left="360"/>
      </w:pPr>
      <w:r>
        <w:rPr>
          <w:rFonts w:ascii="Courier New" w:cs="Courier New" w:eastAsia="Courier New" w:hAnsi="Courier New"/>
          <w:color w:val="166534"/>
          <w:sz w:val="18"/>
          <w:szCs w:val="18"/>
        </w:rPr>
        <w:t xml:space="preserve">4. scored.sort() descendente → top-5 seleccionados</w:t>
      </w:r>
    </w:p>
    <w:p>
      <w:pPr>
        <w:spacing w:after="60" w:before="60"/>
        <w:ind w:left="360"/>
      </w:pPr>
      <w:r>
        <w:rPr>
          <w:rFonts w:ascii="Courier New" w:cs="Courier New" w:eastAsia="Courier New" w:hAnsi="Courier New"/>
          <w:color w:val="166534"/>
          <w:sz w:val="18"/>
          <w:szCs w:val="18"/>
        </w:rPr>
        <w:t xml:space="preserve">5. Proactive nodes: scored donde score ≥ 0.65 (máx 2)</w:t>
      </w:r>
    </w:p>
    <w:p>
      <w:pPr>
        <w:spacing w:after="60" w:before="60"/>
        <w:ind w:left="360"/>
      </w:pPr>
      <w:r>
        <w:rPr>
          <w:rFonts w:ascii="Courier New" w:cs="Courier New" w:eastAsia="Courier New" w:hAnsi="Courier New"/>
          <w:color w:val="166534"/>
          <w:sz w:val="18"/>
          <w:szCs w:val="18"/>
        </w:rPr>
        <w:t xml:space="preserve">6. count().get() → totalNodes (KPI para el dashboard)</w:t>
      </w:r>
    </w:p>
    <w:p/>
    <w:p>
      <w:pPr>
        <w:pStyle w:val="Heading2"/>
        <w:spacing w:after="120" w:before="280"/>
      </w:pPr>
      <w:r>
        <w:rPr>
          <w:rFonts w:ascii="Calibri" w:cs="Calibri" w:eastAsia="Calibri" w:hAnsi="Calibri"/>
          <w:b/>
          <w:bCs/>
          <w:color w:val="1E1B4B"/>
          <w:sz w:val="36"/>
          <w:szCs w:val="36"/>
        </w:rPr>
        <w:t xml:space="preserve">6.2 HybridScore — La Fórmula de Relevancia</w:t>
      </w:r>
    </w:p>
    <w:p>
      <w:pPr>
        <w:spacing w:after="80" w:before="80" w:line="320"/>
      </w:pPr>
      <w:r>
        <w:rPr>
          <w:rFonts w:ascii="Calibri" w:cs="Calibri" w:eastAsia="Calibri" w:hAnsi="Calibri"/>
          <w:color w:val="0F172A"/>
          <w:sz w:val="22"/>
          <w:szCs w:val="22"/>
        </w:rPr>
        <w:t xml:space="preserve">El score híbrido combina dos dimensiones de relevancia: similitud semántica con la query actual (65% del peso) y relevancia histórica del nodo expresada por su weight (35% del peso). Este balance garantiza que los nodos contextuales a la conversación actual tengan prioridad, sin ignorar el historial de uso.</w:t>
      </w:r>
    </w:p>
    <w:p>
      <w:pPr>
        <w:spacing w:after="60" w:before="60"/>
        <w:ind w:left="360"/>
      </w:pPr>
      <w:r>
        <w:rPr>
          <w:rFonts w:ascii="Courier New" w:cs="Courier New" w:eastAsia="Courier New" w:hAnsi="Courier New"/>
          <w:color w:val="166534"/>
          <w:sz w:val="18"/>
          <w:szCs w:val="18"/>
        </w:rPr>
        <w:t xml:space="preserve">hybridScore = cosineSimilarity(query, node) * 0.65 + node.weight * 0.35</w:t>
      </w:r>
    </w:p>
    <w:p/>
    <w:p>
      <w:pPr>
        <w:spacing w:after="80" w:before="80" w:line="320"/>
      </w:pPr>
      <w:r>
        <w:rPr>
          <w:rFonts w:ascii="Calibri" w:cs="Calibri" w:eastAsia="Calibri" w:hAnsi="Calibri"/>
          <w:color w:val="0F172A"/>
          <w:sz w:val="22"/>
          <w:szCs w:val="22"/>
        </w:rPr>
        <w:t xml:space="preserve">Si no hay embeddings disponibles (nodos anteriores a Sprint M-4 o con generateEmbedding() retornando null), hybridScore() hace fallback a node.weight puro, garantizando compatibilidad hacia atrás. La función cosineSimilarity() verifica dimensiones iguales y retorna 0 si algún vector es nulo.</w:t>
      </w:r>
    </w:p>
    <w:p/>
    <w:p>
      <w:pPr>
        <w:pStyle w:val="Heading2"/>
        <w:spacing w:after="120" w:before="280"/>
      </w:pPr>
      <w:r>
        <w:rPr>
          <w:rFonts w:ascii="Calibri" w:cs="Calibri" w:eastAsia="Calibri" w:hAnsi="Calibri"/>
          <w:b/>
          <w:bCs/>
          <w:color w:val="1E1B4B"/>
          <w:sz w:val="36"/>
          <w:szCs w:val="36"/>
        </w:rPr>
        <w:t xml:space="preserve">6.3 NexoContext — Estructura del Resultado</w:t>
      </w:r>
    </w:p>
    <w:tbl>
      <w:tblPr>
        <w:tblW w:type="dxa" w:w="9360"/>
        <w:tblBorders>
          <w:top w:val="single" w:color="C7D2FE" w:sz="1"/>
          <w:left w:val="single" w:color="C7D2FE" w:sz="1"/>
          <w:bottom w:val="single" w:color="C7D2FE" w:sz="1"/>
          <w:right w:val="single" w:color="C7D2FE" w:sz="1"/>
          <w:insideH w:val="single" w:color="auto" w:sz="4"/>
          <w:insideV w:val="single" w:color="auto" w:sz="4"/>
        </w:tblBorders>
      </w:tblPr>
      <w:tblGrid>
        <w:gridCol w:w="100"/>
        <w:gridCol w:w="100"/>
        <w:gridCol w:w="100"/>
      </w:tblGrid>
      <w:tr>
        <w:trPr>
          <w:tblHeader/>
        </w:trPr>
        <w:tc>
          <w:tcPr>
            <w:tcW w:type="dxa" w:w="20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Campo</w:t>
            </w:r>
          </w:p>
        </w:tc>
        <w:tc>
          <w:tcPr>
            <w:tcW w:type="dxa" w:w="18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Tipo</w:t>
            </w:r>
          </w:p>
        </w:tc>
        <w:tc>
          <w:tcPr>
            <w:tcW w:type="dxa" w:w="556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Función en el System Prompt</w:t>
            </w:r>
          </w:p>
        </w:tc>
      </w:tr>
      <w:tr>
        <w:tc>
          <w:tcPr>
            <w:tcW w:type="dxa" w:w="2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topNodes</w:t>
            </w:r>
          </w:p>
        </w:tc>
        <w:tc>
          <w:tcPr>
            <w:tcW w:type="dxa" w:w="1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NexoContextNode[]</w:t>
            </w:r>
          </w:p>
        </w:tc>
        <w:tc>
          <w:tcPr>
            <w:tcW w:type="dxa" w:w="5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Hasta 5 nodos inyectados — title, category, summary, weight, daysAgo, url</w:t>
            </w:r>
          </w:p>
        </w:tc>
      </w:tr>
      <w:tr>
        <w:tc>
          <w:tcPr>
            <w:tcW w:type="dxa" w:w="2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totalNodes</w:t>
            </w:r>
          </w:p>
        </w:tc>
        <w:tc>
          <w:tcPr>
            <w:tcW w:type="dxa" w:w="1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number</w:t>
            </w:r>
          </w:p>
        </w:tc>
        <w:tc>
          <w:tcPr>
            <w:tcW w:type="dxa" w:w="55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Total de nodos activos del usuario (KPI de memoria)</w:t>
            </w:r>
          </w:p>
        </w:tc>
      </w:tr>
      <w:tr>
        <w:tc>
          <w:tcPr>
            <w:tcW w:type="dxa" w:w="2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clusters</w:t>
            </w:r>
          </w:p>
        </w:tc>
        <w:tc>
          <w:tcPr>
            <w:tcW w:type="dxa" w:w="1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string[]</w:t>
            </w:r>
          </w:p>
        </w:tc>
        <w:tc>
          <w:tcPr>
            <w:tcW w:type="dxa" w:w="5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Categorías dominantes ordenadas por frecuencia</w:t>
            </w:r>
          </w:p>
        </w:tc>
      </w:tr>
      <w:tr>
        <w:tc>
          <w:tcPr>
            <w:tcW w:type="dxa" w:w="2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nodeIds</w:t>
            </w:r>
          </w:p>
        </w:tc>
        <w:tc>
          <w:tcPr>
            <w:tcW w:type="dxa" w:w="1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string[]</w:t>
            </w:r>
          </w:p>
        </w:tc>
        <w:tc>
          <w:tcPr>
            <w:tcW w:type="dxa" w:w="55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IDs para que el Attention Engine sepa cuáles reforzar</w:t>
            </w:r>
          </w:p>
        </w:tc>
      </w:tr>
      <w:tr>
        <w:tc>
          <w:tcPr>
            <w:tcW w:type="dxa" w:w="2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proactiveNodes</w:t>
            </w:r>
          </w:p>
        </w:tc>
        <w:tc>
          <w:tcPr>
            <w:tcW w:type="dxa" w:w="1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NexoContextNode[]</w:t>
            </w:r>
          </w:p>
        </w:tc>
        <w:tc>
          <w:tcPr>
            <w:tcW w:type="dxa" w:w="5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Nodos con score ≥ 0.65 que SOFIAA menciona proactivamente</w:t>
            </w:r>
          </w:p>
        </w:tc>
      </w:tr>
      <w:tr>
        <w:tc>
          <w:tcPr>
            <w:tcW w:type="dxa" w:w="2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topScore</w:t>
            </w:r>
          </w:p>
        </w:tc>
        <w:tc>
          <w:tcPr>
            <w:tcW w:type="dxa" w:w="1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number</w:t>
            </w:r>
          </w:p>
        </w:tc>
        <w:tc>
          <w:tcPr>
            <w:tcW w:type="dxa" w:w="55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Score más alto — útil para analytics y debug del retrieval</w:t>
            </w:r>
          </w:p>
        </w:tc>
      </w:tr>
    </w:tbl>
    <w:p/>
    <w:p>
      <w:pPr>
        <w:pStyle w:val="Heading2"/>
        <w:spacing w:after="120" w:before="280"/>
      </w:pPr>
      <w:r>
        <w:rPr>
          <w:rFonts w:ascii="Calibri" w:cs="Calibri" w:eastAsia="Calibri" w:hAnsi="Calibri"/>
          <w:b/>
          <w:bCs/>
          <w:color w:val="1E1B4B"/>
          <w:sz w:val="36"/>
          <w:szCs w:val="36"/>
        </w:rPr>
        <w:t xml:space="preserve">6.4 Proactive Surface — Sprint M-5</w:t>
      </w:r>
    </w:p>
    <w:p>
      <w:pPr>
        <w:spacing w:after="80" w:before="80" w:line="320"/>
      </w:pPr>
      <w:r>
        <w:rPr>
          <w:rFonts w:ascii="Calibri" w:cs="Calibri" w:eastAsia="Calibri" w:hAnsi="Calibri"/>
          <w:color w:val="0F172A"/>
          <w:sz w:val="22"/>
          <w:szCs w:val="22"/>
        </w:rPr>
        <w:t xml:space="preserve">Los nodos con hybridScore ≥ NEXO_PROACTIVE_THRESHOLD (0.65) activan la superficie proactiva: SOFIAA los menciona explícitamente en su respuesta aunque el usuario no los haya pedido. Ejemplo: si el usuario pregunta '¿dónde comer hoy?' y tiene un nodo de restaurante con score 0.80, SOFIAA puede sugerir directamente ese lugar. El límite de 2 nodos proactivos evita que el sistema se vuelva ruidoso o sobreintrusivo.</w:t>
      </w:r>
    </w:p>
    <w:p>
      <w:r>
        <w:br w:type="page"/>
      </w:r>
    </w:p>
    <w:p>
      <w:pPr>
        <w:pStyle w:val="Heading1"/>
        <w:spacing w:after="160" w:before="360"/>
      </w:pPr>
      <w:r>
        <w:rPr>
          <w:rFonts w:ascii="Calibri" w:cs="Calibri" w:eastAsia="Calibri" w:hAnsi="Calibri"/>
          <w:b/>
          <w:bCs/>
          <w:color w:val="0F172A"/>
          <w:sz w:val="48"/>
          <w:szCs w:val="48"/>
        </w:rPr>
        <w:t xml:space="preserve">7. Attention Engine — Refuerzo por Uso (Sprint M-2)</w:t>
      </w:r>
    </w:p>
    <w:p>
      <w:pPr>
        <w:spacing w:after="80" w:before="80" w:line="320"/>
      </w:pPr>
      <w:r>
        <w:rPr>
          <w:rFonts w:ascii="Calibri" w:cs="Calibri" w:eastAsia="Calibri" w:hAnsi="Calibri"/>
          <w:color w:val="0F172A"/>
          <w:sz w:val="22"/>
          <w:szCs w:val="22"/>
        </w:rPr>
        <w:t xml:space="preserve">El Attention Engine implementa el principio de refuerzo por uso: los nodos que SOFIAA usa activamente en conversación se fortalecen, mientras los ignorados continúan decayendo. Este mecanismo crea un ciclo de feedback positivo donde la memoria más útil se vuelve más accesible, análogo al efecto de la repetición espaciada en la memoria humana.</w:t>
      </w:r>
    </w:p>
    <w:p/>
    <w:p>
      <w:pPr>
        <w:pStyle w:val="Heading2"/>
        <w:spacing w:after="120" w:before="280"/>
      </w:pPr>
      <w:r>
        <w:rPr>
          <w:rFonts w:ascii="Calibri" w:cs="Calibri" w:eastAsia="Calibri" w:hAnsi="Calibri"/>
          <w:b/>
          <w:bCs/>
          <w:color w:val="1E1B4B"/>
          <w:sz w:val="36"/>
          <w:szCs w:val="36"/>
        </w:rPr>
        <w:t xml:space="preserve">7.1 Mecanismo de Activación</w:t>
      </w:r>
    </w:p>
    <w:p>
      <w:pPr>
        <w:spacing w:after="80" w:before="80" w:line="320"/>
      </w:pPr>
      <w:r>
        <w:rPr>
          <w:rFonts w:ascii="Calibri" w:cs="Calibri" w:eastAsia="Calibri" w:hAnsi="Calibri"/>
          <w:color w:val="0F172A"/>
          <w:sz w:val="22"/>
          <w:szCs w:val="22"/>
        </w:rPr>
        <w:t xml:space="preserve">El Attention Engine se activa via waitUntil() en el chat route de SOFIAA. Esto significa que corre de forma asíncrona después de enviar la respuesta al usuario, sin añadir latencia al stream de texto. Recibe el array nodeIds del NexoContext (los nodos seleccionados para esa conversación) y aplica refuerzo en batch.</w:t>
      </w:r>
    </w:p>
    <w:p/>
    <w:p>
      <w:pPr>
        <w:pStyle w:val="Heading2"/>
        <w:spacing w:after="120" w:before="280"/>
      </w:pPr>
      <w:r>
        <w:rPr>
          <w:rFonts w:ascii="Calibri" w:cs="Calibri" w:eastAsia="Calibri" w:hAnsi="Calibri"/>
          <w:b/>
          <w:bCs/>
          <w:color w:val="1E1B4B"/>
          <w:sz w:val="36"/>
          <w:szCs w:val="36"/>
        </w:rPr>
        <w:t xml:space="preserve">7.2 Lógica de Refuerzo</w:t>
      </w:r>
    </w:p>
    <w:tbl>
      <w:tblPr>
        <w:tblW w:type="dxa" w:w="9360"/>
        <w:tblBorders>
          <w:top w:val="single" w:color="C7D2FE" w:sz="1"/>
          <w:left w:val="single" w:color="C7D2FE" w:sz="1"/>
          <w:bottom w:val="single" w:color="C7D2FE" w:sz="1"/>
          <w:right w:val="single" w:color="C7D2FE" w:sz="1"/>
          <w:insideH w:val="single" w:color="auto" w:sz="4"/>
          <w:insideV w:val="single" w:color="auto" w:sz="4"/>
        </w:tblBorders>
      </w:tblPr>
      <w:tblGrid>
        <w:gridCol w:w="100"/>
        <w:gridCol w:w="100"/>
        <w:gridCol w:w="100"/>
      </w:tblGrid>
      <w:tr>
        <w:trPr>
          <w:tblHeader/>
        </w:trPr>
        <w:tc>
          <w:tcPr>
            <w:tcW w:type="dxa" w:w="22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Campo Actualizado</w:t>
            </w:r>
          </w:p>
        </w:tc>
        <w:tc>
          <w:tcPr>
            <w:tcW w:type="dxa" w:w="32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Fórmula</w:t>
            </w:r>
          </w:p>
        </w:tc>
        <w:tc>
          <w:tcPr>
            <w:tcW w:type="dxa" w:w="396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Límite</w:t>
            </w:r>
          </w:p>
        </w:tc>
      </w:tr>
      <w:tr>
        <w:tc>
          <w:tcPr>
            <w:tcW w:type="dxa" w:w="2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weight</w:t>
            </w:r>
          </w:p>
        </w:tc>
        <w:tc>
          <w:tcPr>
            <w:tcW w:type="dxa" w:w="3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min(1.0, weight + ATTEND_DELTA)</w:t>
            </w:r>
          </w:p>
        </w:tc>
        <w:tc>
          <w:tcPr>
            <w:tcW w:type="dxa" w:w="3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MAX_WEIGHT = 1.0</w:t>
            </w:r>
          </w:p>
        </w:tc>
      </w:tr>
      <w:tr>
        <w:tc>
          <w:tcPr>
            <w:tcW w:type="dxa" w:w="22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lastReinforced</w:t>
            </w:r>
          </w:p>
        </w:tc>
        <w:tc>
          <w:tcPr>
            <w:tcW w:type="dxa" w:w="32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Date.now()</w:t>
            </w:r>
          </w:p>
        </w:tc>
        <w:tc>
          <w:tcPr>
            <w:tcW w:type="dxa" w:w="39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Resetea el reloj del Decay Engine</w:t>
            </w:r>
          </w:p>
        </w:tc>
      </w:tr>
      <w:tr>
        <w:tc>
          <w:tcPr>
            <w:tcW w:type="dxa" w:w="2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reinforceCount</w:t>
            </w:r>
          </w:p>
        </w:tc>
        <w:tc>
          <w:tcPr>
            <w:tcW w:type="dxa" w:w="3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min(9999, reinforceCount + 1)</w:t>
            </w:r>
          </w:p>
        </w:tc>
        <w:tc>
          <w:tcPr>
            <w:tcW w:type="dxa" w:w="3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MAX_REINFORCE_COUNT = 9999</w:t>
            </w:r>
          </w:p>
        </w:tc>
      </w:tr>
    </w:tbl>
    <w:p/>
    <w:p>
      <w:pPr>
        <w:spacing w:after="80" w:before="80" w:line="320"/>
      </w:pPr>
      <w:r>
        <w:rPr>
          <w:rFonts w:ascii="Calibri" w:cs="Calibri" w:eastAsia="Calibri" w:hAnsi="Calibri"/>
          <w:color w:val="0F172A"/>
          <w:sz w:val="22"/>
          <w:szCs w:val="22"/>
        </w:rPr>
        <w:t xml:space="preserve">Los nodos de tipo 'insight' (generados por el Reflection Engine) son excluidos del refuerzo por atención — su decayRate ya es 0.02 y se quiere que persistan naturalmente sin depender del patrón de uso. El método es silencioso: cualquier error se captura y descarta para nunca interferir con el flujo del chat.</w:t>
      </w:r>
    </w:p>
    <w:p/>
    <w:p>
      <w:pPr>
        <w:pStyle w:val="Heading2"/>
        <w:spacing w:after="120" w:before="280"/>
      </w:pPr>
      <w:r>
        <w:rPr>
          <w:rFonts w:ascii="Calibri" w:cs="Calibri" w:eastAsia="Calibri" w:hAnsi="Calibri"/>
          <w:b/>
          <w:bCs/>
          <w:color w:val="1E1B4B"/>
          <w:sz w:val="36"/>
          <w:szCs w:val="36"/>
        </w:rPr>
        <w:t xml:space="preserve">7.3 Panel Mi Grafo — Badge de Nodos Reforzados</w:t>
      </w:r>
    </w:p>
    <w:p>
      <w:pPr>
        <w:spacing w:after="80" w:before="80" w:line="320"/>
      </w:pPr>
      <w:r>
        <w:rPr>
          <w:rFonts w:ascii="Calibri" w:cs="Calibri" w:eastAsia="Calibri" w:hAnsi="Calibri"/>
          <w:color w:val="0F172A"/>
          <w:sz w:val="22"/>
          <w:szCs w:val="22"/>
        </w:rPr>
        <w:t xml:space="preserve">La página /nexo/mi-grafo muestra el grafo de memoria del usuario con un badge especial (🔁) en los nodos que han sido reforzados al menos una vez (reinforceCount &gt; 0). Esto da visibilidad al usuario sobre qué partes de su memoria SOFIAA ha utilizado activamente, cerrando el ciclo de transparencia cognitiva.</w:t>
      </w:r>
    </w:p>
    <w:p>
      <w:r>
        <w:br w:type="page"/>
      </w:r>
    </w:p>
    <w:p>
      <w:pPr>
        <w:pStyle w:val="Heading1"/>
        <w:spacing w:after="160" w:before="360"/>
      </w:pPr>
      <w:r>
        <w:rPr>
          <w:rFonts w:ascii="Calibri" w:cs="Calibri" w:eastAsia="Calibri" w:hAnsi="Calibri"/>
          <w:b/>
          <w:bCs/>
          <w:color w:val="0F172A"/>
          <w:sz w:val="48"/>
          <w:szCs w:val="48"/>
        </w:rPr>
        <w:t xml:space="preserve">8. Reflection Engine — Metacognición Sintética (Sprint M-0)</w:t>
      </w:r>
    </w:p>
    <w:p>
      <w:pPr>
        <w:spacing w:after="80" w:before="80" w:line="320"/>
      </w:pPr>
      <w:r>
        <w:rPr>
          <w:rFonts w:ascii="Calibri" w:cs="Calibri" w:eastAsia="Calibri" w:hAnsi="Calibri"/>
          <w:color w:val="0F172A"/>
          <w:sz w:val="22"/>
          <w:szCs w:val="22"/>
        </w:rPr>
        <w:t xml:space="preserve">El Reflection Engine es el motor de metacognición de N.E.X.O. No captura conocimiento del mundo exterior, sino que analiza el grafo del propio usuario y genera insights sobre los patrones emergentes en su memoria. Es el sistema que le permite a SOFIAA decir 'noto que últimamente te interesa mucho la fotografía de producto — ¿estás trabajando en algo nuevo?'</w:t>
      </w:r>
    </w:p>
    <w:p/>
    <w:p>
      <w:pPr>
        <w:pStyle w:val="Heading2"/>
        <w:spacing w:after="120" w:before="280"/>
      </w:pPr>
      <w:r>
        <w:rPr>
          <w:rFonts w:ascii="Calibri" w:cs="Calibri" w:eastAsia="Calibri" w:hAnsi="Calibri"/>
          <w:b/>
          <w:bCs/>
          <w:color w:val="1E1B4B"/>
          <w:sz w:val="36"/>
          <w:szCs w:val="36"/>
        </w:rPr>
        <w:t xml:space="preserve">8.1 Proceso de Reflexión</w:t>
      </w:r>
    </w:p>
    <w:p>
      <w:pPr>
        <w:spacing w:after="80" w:before="80" w:line="320"/>
      </w:pPr>
      <w:r>
        <w:rPr>
          <w:rFonts w:ascii="Calibri" w:cs="Calibri" w:eastAsia="Calibri" w:hAnsi="Calibri"/>
          <w:color w:val="0F172A"/>
          <w:sz w:val="22"/>
          <w:szCs w:val="22"/>
        </w:rPr>
        <w:t xml:space="preserve">runReflection(uid) ejecuta el siguiente flujo:</w:t>
      </w:r>
    </w:p>
    <w:p>
      <w:pPr>
        <w:spacing w:after="60" w:before="60"/>
        <w:ind w:left="360"/>
      </w:pPr>
      <w:r>
        <w:rPr>
          <w:rFonts w:ascii="Courier New" w:cs="Courier New" w:eastAsia="Courier New" w:hAnsi="Courier New"/>
          <w:color w:val="166534"/>
          <w:sz w:val="18"/>
          <w:szCs w:val="18"/>
        </w:rPr>
        <w:t xml:space="preserve">1. Verificar cooldown: si existe un 'insight' con createdAt &lt; 20h → skipped=true</w:t>
      </w:r>
    </w:p>
    <w:p>
      <w:pPr>
        <w:spacing w:after="60" w:before="60"/>
        <w:ind w:left="360"/>
      </w:pPr>
      <w:r>
        <w:rPr>
          <w:rFonts w:ascii="Courier New" w:cs="Courier New" w:eastAsia="Courier New" w:hAnsi="Courier New"/>
          <w:color w:val="166534"/>
          <w:sz w:val="18"/>
          <w:szCs w:val="18"/>
        </w:rPr>
        <w:t xml:space="preserve">2. getNexoNodes(uid) → ordenados por weight desc</w:t>
      </w:r>
    </w:p>
    <w:p>
      <w:pPr>
        <w:spacing w:after="60" w:before="60"/>
        <w:ind w:left="360"/>
      </w:pPr>
      <w:r>
        <w:rPr>
          <w:rFonts w:ascii="Courier New" w:cs="Courier New" w:eastAsia="Courier New" w:hAnsi="Courier New"/>
          <w:color w:val="166534"/>
          <w:sz w:val="18"/>
          <w:szCs w:val="18"/>
        </w:rPr>
        <w:t xml:space="preserve">3. Filtrar: solo type='captured' AND weight &gt; 0.1 → top 30</w:t>
      </w:r>
    </w:p>
    <w:p>
      <w:pPr>
        <w:spacing w:after="60" w:before="60"/>
        <w:ind w:left="360"/>
      </w:pPr>
      <w:r>
        <w:rPr>
          <w:rFonts w:ascii="Courier New" w:cs="Courier New" w:eastAsia="Courier New" w:hAnsi="Courier New"/>
          <w:color w:val="166534"/>
          <w:sz w:val="18"/>
          <w:szCs w:val="18"/>
        </w:rPr>
        <w:t xml:space="preserve">4. Construir nodeLines: '[{category}] {title}: {summary}'</w:t>
      </w:r>
    </w:p>
    <w:p>
      <w:pPr>
        <w:spacing w:after="60" w:before="60"/>
        <w:ind w:left="360"/>
      </w:pPr>
      <w:r>
        <w:rPr>
          <w:rFonts w:ascii="Courier New" w:cs="Courier New" w:eastAsia="Courier New" w:hAnsi="Courier New"/>
          <w:color w:val="166534"/>
          <w:sz w:val="18"/>
          <w:szCs w:val="18"/>
        </w:rPr>
        <w:t xml:space="preserve">5. callGroq(prompt, { maxTokens:1024, temperature:0.75, json:true })</w:t>
      </w:r>
    </w:p>
    <w:p>
      <w:pPr>
        <w:spacing w:after="60" w:before="60"/>
        <w:ind w:left="360"/>
      </w:pPr>
      <w:r>
        <w:rPr>
          <w:rFonts w:ascii="Courier New" w:cs="Courier New" w:eastAsia="Courier New" w:hAnsi="Courier New"/>
          <w:color w:val="166534"/>
          <w:sz w:val="18"/>
          <w:szCs w:val="18"/>
        </w:rPr>
        <w:t xml:space="preserve">6. Parsear JSON → { insights[], patterns[], connections[] }</w:t>
      </w:r>
    </w:p>
    <w:p>
      <w:pPr>
        <w:spacing w:after="60" w:before="60"/>
        <w:ind w:left="360"/>
      </w:pPr>
      <w:r>
        <w:rPr>
          <w:rFonts w:ascii="Courier New" w:cs="Courier New" w:eastAsia="Courier New" w:hAnsi="Courier New"/>
          <w:color w:val="166534"/>
          <w:sz w:val="18"/>
          <w:szCs w:val="18"/>
        </w:rPr>
        <w:t xml:space="preserve">7. Guardar insights como NexoNode type='insight' en Firestore</w:t>
      </w:r>
    </w:p>
    <w:p/>
    <w:p>
      <w:pPr>
        <w:pStyle w:val="Heading2"/>
        <w:spacing w:after="120" w:before="280"/>
      </w:pPr>
      <w:r>
        <w:rPr>
          <w:rFonts w:ascii="Calibri" w:cs="Calibri" w:eastAsia="Calibri" w:hAnsi="Calibri"/>
          <w:b/>
          <w:bCs/>
          <w:color w:val="1E1B4B"/>
          <w:sz w:val="36"/>
          <w:szCs w:val="36"/>
        </w:rPr>
        <w:t xml:space="preserve">8.2 Temperatura Alta para Diversidad</w:t>
      </w:r>
    </w:p>
    <w:p>
      <w:pPr>
        <w:spacing w:after="80" w:before="80" w:line="320"/>
      </w:pPr>
      <w:r>
        <w:rPr>
          <w:rFonts w:ascii="Calibri" w:cs="Calibri" w:eastAsia="Calibri" w:hAnsi="Calibri"/>
          <w:color w:val="0F172A"/>
          <w:sz w:val="22"/>
          <w:szCs w:val="22"/>
        </w:rPr>
        <w:t xml:space="preserve">El Reflection Engine usa temperature=0.75, significativamente más alto que el Classifier (0.1) o el PDF Engine (0.3). Esta elección es deliberada: la reflexión cognitiva requiere creatividad e identificación de conexiones no obvias, no precisión clasificatoria. Una temperatura baja generaría reflexiones genéricas y predecibles; una temperatura alta produce observaciones sorprendentes y genuinamente útiles.</w:t>
      </w:r>
    </w:p>
    <w:p/>
    <w:p>
      <w:pPr>
        <w:pStyle w:val="Heading2"/>
        <w:spacing w:after="120" w:before="280"/>
      </w:pPr>
      <w:r>
        <w:rPr>
          <w:rFonts w:ascii="Calibri" w:cs="Calibri" w:eastAsia="Calibri" w:hAnsi="Calibri"/>
          <w:b/>
          <w:bCs/>
          <w:color w:val="1E1B4B"/>
          <w:sz w:val="36"/>
          <w:szCs w:val="36"/>
        </w:rPr>
        <w:t xml:space="preserve">8.3 Los 4 Tipos de Patrón</w:t>
      </w:r>
    </w:p>
    <w:tbl>
      <w:tblPr>
        <w:tblW w:type="dxa" w:w="9360"/>
        <w:tblBorders>
          <w:top w:val="single" w:color="C7D2FE" w:sz="1"/>
          <w:left w:val="single" w:color="C7D2FE" w:sz="1"/>
          <w:bottom w:val="single" w:color="C7D2FE" w:sz="1"/>
          <w:right w:val="single" w:color="C7D2FE" w:sz="1"/>
          <w:insideH w:val="single" w:color="auto" w:sz="4"/>
          <w:insideV w:val="single" w:color="auto" w:sz="4"/>
        </w:tblBorders>
      </w:tblPr>
      <w:tblGrid>
        <w:gridCol w:w="100"/>
        <w:gridCol w:w="100"/>
        <w:gridCol w:w="100"/>
      </w:tblGrid>
      <w:tr>
        <w:trPr>
          <w:tblHeader/>
        </w:trPr>
        <w:tc>
          <w:tcPr>
            <w:tcW w:type="dxa" w:w="24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Tipo de Patrón</w:t>
            </w:r>
          </w:p>
        </w:tc>
        <w:tc>
          <w:tcPr>
            <w:tcW w:type="dxa" w:w="30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Descripción</w:t>
            </w:r>
          </w:p>
        </w:tc>
        <w:tc>
          <w:tcPr>
            <w:tcW w:type="dxa" w:w="396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Ejemplo</w:t>
            </w:r>
          </w:p>
        </w:tc>
      </w:tr>
      <w:tr>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curiosidad</w:t>
            </w:r>
          </w:p>
        </w:tc>
        <w:tc>
          <w:tcPr>
            <w:tcW w:type="dxa" w:w="3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Interés nuevo o exploratorio detectado</w:t>
            </w:r>
          </w:p>
        </w:tc>
        <w:tc>
          <w:tcPr>
            <w:tcW w:type="dxa" w:w="3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'El usuario está explorando herramientas de video por primera vez'</w:t>
            </w:r>
          </w:p>
        </w:tc>
      </w:tr>
      <w:tr>
        <w:tc>
          <w:tcPr>
            <w:tcW w:type="dxa" w:w="24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hábito</w:t>
            </w:r>
          </w:p>
        </w:tc>
        <w:tc>
          <w:tcPr>
            <w:tcW w:type="dxa" w:w="3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Comportamiento recurrente en el grafo</w:t>
            </w:r>
          </w:p>
        </w:tc>
        <w:tc>
          <w:tcPr>
            <w:tcW w:type="dxa" w:w="39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'Captura restaurantes todos los viernes — patrón de planeación social'</w:t>
            </w:r>
          </w:p>
        </w:tc>
      </w:tr>
      <w:tr>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interés_emergente</w:t>
            </w:r>
          </w:p>
        </w:tc>
        <w:tc>
          <w:tcPr>
            <w:tcW w:type="dxa" w:w="3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Tema que crece en frecuencia en el grafo</w:t>
            </w:r>
          </w:p>
        </w:tc>
        <w:tc>
          <w:tcPr>
            <w:tcW w:type="dxa" w:w="3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'Equipos Sony aumentaron en el grafo — posible proyecto fotográfico'</w:t>
            </w:r>
          </w:p>
        </w:tc>
      </w:tr>
      <w:tr>
        <w:tc>
          <w:tcPr>
            <w:tcW w:type="dxa" w:w="24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conexión_temática</w:t>
            </w:r>
          </w:p>
        </w:tc>
        <w:tc>
          <w:tcPr>
            <w:tcW w:type="dxa" w:w="3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Relación no obvia entre dos categorías</w:t>
            </w:r>
          </w:p>
        </w:tc>
        <w:tc>
          <w:tcPr>
            <w:tcW w:type="dxa" w:w="39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'Investigación sobre luz natural y lista de restaurantes con terraza'</w:t>
            </w:r>
          </w:p>
        </w:tc>
      </w:tr>
    </w:tbl>
    <w:p/>
    <w:p>
      <w:pPr>
        <w:pStyle w:val="Heading2"/>
        <w:spacing w:after="120" w:before="280"/>
      </w:pPr>
      <w:r>
        <w:rPr>
          <w:rFonts w:ascii="Calibri" w:cs="Calibri" w:eastAsia="Calibri" w:hAnsi="Calibri"/>
          <w:b/>
          <w:bCs/>
          <w:color w:val="1E1B4B"/>
          <w:sz w:val="36"/>
          <w:szCs w:val="36"/>
        </w:rPr>
        <w:t xml:space="preserve">8.4 Nodos Insight — Propiedades Especiales</w:t>
      </w:r>
    </w:p>
    <w:p>
      <w:pPr>
        <w:spacing w:after="80" w:before="80" w:line="320"/>
      </w:pPr>
      <w:r>
        <w:rPr>
          <w:rFonts w:ascii="Calibri" w:cs="Calibri" w:eastAsia="Calibri" w:hAnsi="Calibri"/>
          <w:color w:val="0F172A"/>
          <w:sz w:val="22"/>
          <w:szCs w:val="22"/>
        </w:rPr>
        <w:t xml:space="preserve">Los insights se guardan como NexoNode con type='insight', decayRate=0.02 (muy lento), weight=0.85 e importanceScore=0.85. El nodeId sigue el formato 'nexo:insight:{timestamp}:{index}'. Son excluidos del Attention Engine (no se refuerzan por uso) y del propio Reflection Engine (no se analizan a sí mismos — solo nodos capturados). El CRON de reflexión corre a las 10 AM UTC (4 AM CST), una hora después del Decay Engine.</w:t>
      </w:r>
    </w:p>
    <w:p/>
    <w:p>
      <w:pPr>
        <w:pStyle w:val="Heading2"/>
        <w:spacing w:after="120" w:before="280"/>
      </w:pPr>
      <w:r>
        <w:rPr>
          <w:rFonts w:ascii="Calibri" w:cs="Calibri" w:eastAsia="Calibri" w:hAnsi="Calibri"/>
          <w:b/>
          <w:bCs/>
          <w:color w:val="1E1B4B"/>
          <w:sz w:val="36"/>
          <w:szCs w:val="36"/>
        </w:rPr>
        <w:t xml:space="preserve">8.5 Umbral Mínimo de Datos</w:t>
      </w:r>
    </w:p>
    <w:p>
      <w:pPr>
        <w:spacing w:after="80" w:before="80" w:line="320"/>
      </w:pPr>
      <w:r>
        <w:rPr>
          <w:rFonts w:ascii="Calibri" w:cs="Calibri" w:eastAsia="Calibri" w:hAnsi="Calibri"/>
          <w:color w:val="0F172A"/>
          <w:sz w:val="22"/>
          <w:szCs w:val="22"/>
        </w:rPr>
        <w:t xml:space="preserve">runReflection() requiere al menos 3 nodos capturados con peso &gt; 0.1 para generar una reflexión. Si hay menos, retorna skipped=true con reason='Pocos nodos para reflexionar (N)'. Este umbral evita reflexiones vacías o triviales cuando el grafo del usuario está recién poblado. El CRON multi-usuario aplica esto a todos los usuarios vía collectionGroup query, procesando cada UID encontrado.</w:t>
      </w:r>
    </w:p>
    <w:p>
      <w:r>
        <w:br w:type="page"/>
      </w:r>
    </w:p>
    <w:p>
      <w:pPr>
        <w:pStyle w:val="Heading1"/>
        <w:spacing w:after="160" w:before="360"/>
      </w:pPr>
      <w:r>
        <w:rPr>
          <w:rFonts w:ascii="Calibri" w:cs="Calibri" w:eastAsia="Calibri" w:hAnsi="Calibri"/>
          <w:b/>
          <w:bCs/>
          <w:color w:val="0F172A"/>
          <w:sz w:val="48"/>
          <w:szCs w:val="48"/>
        </w:rPr>
        <w:t xml:space="preserve">9. PDF Library — Biblioteca Personal (Sprint M-1)</w:t>
      </w:r>
    </w:p>
    <w:p>
      <w:pPr>
        <w:spacing w:after="80" w:before="80" w:line="320"/>
      </w:pPr>
      <w:r>
        <w:rPr>
          <w:rFonts w:ascii="Calibri" w:cs="Calibri" w:eastAsia="Calibri" w:hAnsi="Calibri"/>
          <w:color w:val="0F172A"/>
          <w:sz w:val="22"/>
          <w:szCs w:val="22"/>
        </w:rPr>
        <w:t xml:space="preserve">La Biblioteca Personal permite a los usuarios subir documentos PDF que se procesan automáticamente en múltiples NexoNodes. A diferencia de las capturas web (un nodo por URL), un PDF puede contener múltiples temas, capítulos y conceptos que se convierten en nodos independientes — conectados por el campo entities.extra.docId que permite regresar al documento origen.</w:t>
      </w:r>
    </w:p>
    <w:p/>
    <w:p>
      <w:pPr>
        <w:pStyle w:val="Heading2"/>
        <w:spacing w:after="120" w:before="280"/>
      </w:pPr>
      <w:r>
        <w:rPr>
          <w:rFonts w:ascii="Calibri" w:cs="Calibri" w:eastAsia="Calibri" w:hAnsi="Calibri"/>
          <w:b/>
          <w:bCs/>
          <w:color w:val="1E1B4B"/>
          <w:sz w:val="36"/>
          <w:szCs w:val="36"/>
        </w:rPr>
        <w:t xml:space="preserve">9.1 Pipeline de Procesamiento PDF</w:t>
      </w:r>
    </w:p>
    <w:p>
      <w:pPr>
        <w:spacing w:after="60" w:before="60"/>
        <w:ind w:left="360"/>
      </w:pPr>
      <w:r>
        <w:rPr>
          <w:rFonts w:ascii="Courier New" w:cs="Courier New" w:eastAsia="Courier New" w:hAnsi="Courier New"/>
          <w:color w:val="166534"/>
          <w:sz w:val="18"/>
          <w:szCs w:val="18"/>
        </w:rPr>
        <w:t xml:space="preserve">POST /api/nexo/pdf recibe: FormData { file: File (application/pdf) }</w:t>
      </w:r>
    </w:p>
    <w:p>
      <w:pPr>
        <w:spacing w:after="60" w:before="60"/>
        <w:ind w:left="360"/>
      </w:pPr>
      <w:r>
        <w:rPr>
          <w:rFonts w:ascii="Courier New" w:cs="Courier New" w:eastAsia="Courier New" w:hAnsi="Courier New"/>
          <w:color w:val="166534"/>
          <w:sz w:val="18"/>
          <w:szCs w:val="18"/>
        </w:rPr>
        <w:t xml:space="preserve">Límite: 10 MB en Vercel Pro, 4 MB en Hobby</w:t>
      </w:r>
    </w:p>
    <w:p>
      <w:pPr>
        <w:spacing w:after="60" w:before="60"/>
        <w:ind w:left="360"/>
      </w:pPr>
      <w:r>
        <w:rPr>
          <w:rFonts w:ascii="Courier New" w:cs="Courier New" w:eastAsia="Courier New" w:hAnsi="Courier New"/>
          <w:color w:val="166534"/>
          <w:sz w:val="18"/>
          <w:szCs w:val="18"/>
        </w:rPr>
        <w:t xml:space="preserve"/>
      </w:r>
    </w:p>
    <w:p>
      <w:pPr>
        <w:spacing w:after="60" w:before="60"/>
        <w:ind w:left="360"/>
      </w:pPr>
      <w:r>
        <w:rPr>
          <w:rFonts w:ascii="Courier New" w:cs="Courier New" w:eastAsia="Courier New" w:hAnsi="Courier New"/>
          <w:color w:val="166534"/>
          <w:sz w:val="18"/>
          <w:szCs w:val="18"/>
        </w:rPr>
        <w:t xml:space="preserve">1. Guardar metadata inicial: status='processing' en users/{uid}/biblioteca/{docId}</w:t>
      </w:r>
    </w:p>
    <w:p>
      <w:pPr>
        <w:spacing w:after="60" w:before="60"/>
        <w:ind w:left="360"/>
      </w:pPr>
      <w:r>
        <w:rPr>
          <w:rFonts w:ascii="Courier New" w:cs="Courier New" w:eastAsia="Courier New" w:hAnsi="Courier New"/>
          <w:color w:val="166534"/>
          <w:sz w:val="18"/>
          <w:szCs w:val="18"/>
        </w:rPr>
        <w:t xml:space="preserve">2. pdf-parse(buffer) → texto plano del PDF (truncado a 8,000 chars para TPM)</w:t>
      </w:r>
    </w:p>
    <w:p>
      <w:pPr>
        <w:spacing w:after="60" w:before="60"/>
        <w:ind w:left="360"/>
      </w:pPr>
      <w:r>
        <w:rPr>
          <w:rFonts w:ascii="Courier New" w:cs="Courier New" w:eastAsia="Courier New" w:hAnsi="Courier New"/>
          <w:color w:val="166534"/>
          <w:sz w:val="18"/>
          <w:szCs w:val="18"/>
        </w:rPr>
        <w:t xml:space="preserve">3. callGroq(prompt, { maxTokens:2048, temperature:0.3, json:true })</w:t>
      </w:r>
    </w:p>
    <w:p>
      <w:pPr>
        <w:spacing w:after="60" w:before="60"/>
        <w:ind w:left="360"/>
      </w:pPr>
      <w:r>
        <w:rPr>
          <w:rFonts w:ascii="Courier New" w:cs="Courier New" w:eastAsia="Courier New" w:hAnsi="Courier New"/>
          <w:color w:val="166534"/>
          <w:sz w:val="18"/>
          <w:szCs w:val="18"/>
        </w:rPr>
        <w:t xml:space="preserve">   → { title, author, language, nodes[]: { title, summary, category, entities } }</w:t>
      </w:r>
    </w:p>
    <w:p>
      <w:pPr>
        <w:spacing w:after="60" w:before="60"/>
        <w:ind w:left="360"/>
      </w:pPr>
      <w:r>
        <w:rPr>
          <w:rFonts w:ascii="Courier New" w:cs="Courier New" w:eastAsia="Courier New" w:hAnsi="Courier New"/>
          <w:color w:val="166534"/>
          <w:sz w:val="18"/>
          <w:szCs w:val="18"/>
        </w:rPr>
        <w:t xml:space="preserve">4. Crear NexoNode por cada topic (máx 7 por documento)</w:t>
      </w:r>
    </w:p>
    <w:p>
      <w:pPr>
        <w:spacing w:after="60" w:before="60"/>
        <w:ind w:left="360"/>
      </w:pPr>
      <w:r>
        <w:rPr>
          <w:rFonts w:ascii="Courier New" w:cs="Courier New" w:eastAsia="Courier New" w:hAnsi="Courier New"/>
          <w:color w:val="166534"/>
          <w:sz w:val="18"/>
          <w:szCs w:val="18"/>
        </w:rPr>
        <w:t xml:space="preserve">5. Actualizar BibliotecaDoc: status='processed', nodesCreated, title, author</w:t>
      </w:r>
    </w:p>
    <w:p/>
    <w:p>
      <w:pPr>
        <w:pStyle w:val="Heading2"/>
        <w:spacing w:after="120" w:before="280"/>
      </w:pPr>
      <w:r>
        <w:rPr>
          <w:rFonts w:ascii="Calibri" w:cs="Calibri" w:eastAsia="Calibri" w:hAnsi="Calibri"/>
          <w:b/>
          <w:bCs/>
          <w:color w:val="1E1B4B"/>
          <w:sz w:val="36"/>
          <w:szCs w:val="36"/>
        </w:rPr>
        <w:t xml:space="preserve">9.2 Propiedades Especiales de Nodos PDF</w:t>
      </w:r>
    </w:p>
    <w:tbl>
      <w:tblPr>
        <w:tblW w:type="dxa" w:w="9360"/>
        <w:tblBorders>
          <w:top w:val="single" w:color="C7D2FE" w:sz="1"/>
          <w:left w:val="single" w:color="C7D2FE" w:sz="1"/>
          <w:bottom w:val="single" w:color="C7D2FE" w:sz="1"/>
          <w:right w:val="single" w:color="C7D2FE" w:sz="1"/>
          <w:insideH w:val="single" w:color="auto" w:sz="4"/>
          <w:insideV w:val="single" w:color="auto" w:sz="4"/>
        </w:tblBorders>
      </w:tblPr>
      <w:tblGrid>
        <w:gridCol w:w="100"/>
        <w:gridCol w:w="100"/>
        <w:gridCol w:w="100"/>
      </w:tblGrid>
      <w:tr>
        <w:trPr>
          <w:tblHeader/>
        </w:trPr>
        <w:tc>
          <w:tcPr>
            <w:tcW w:type="dxa" w:w="22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Propiedad</w:t>
            </w:r>
          </w:p>
        </w:tc>
        <w:tc>
          <w:tcPr>
            <w:tcW w:type="dxa" w:w="22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Valor</w:t>
            </w:r>
          </w:p>
        </w:tc>
        <w:tc>
          <w:tcPr>
            <w:tcW w:type="dxa" w:w="496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Justificación</w:t>
            </w:r>
          </w:p>
        </w:tc>
      </w:tr>
      <w:tr>
        <w:tc>
          <w:tcPr>
            <w:tcW w:type="dxa" w:w="2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source</w:t>
            </w:r>
          </w:p>
        </w:tc>
        <w:tc>
          <w:tcPr>
            <w:tcW w:type="dxa" w:w="2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'pdf_library'</w:t>
            </w:r>
          </w:p>
        </w:tc>
        <w:tc>
          <w:tcPr>
            <w:tcW w:type="dxa" w:w="4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Distingue de capturas web para queries específicas</w:t>
            </w:r>
          </w:p>
        </w:tc>
      </w:tr>
      <w:tr>
        <w:tc>
          <w:tcPr>
            <w:tcW w:type="dxa" w:w="22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weight</w:t>
            </w:r>
          </w:p>
        </w:tc>
        <w:tc>
          <w:tcPr>
            <w:tcW w:type="dxa" w:w="22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0.75</w:t>
            </w:r>
          </w:p>
        </w:tc>
        <w:tc>
          <w:tcPr>
            <w:tcW w:type="dxa" w:w="49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Mayor que capturas web (0.60) — fue subido intencionalmente</w:t>
            </w:r>
          </w:p>
        </w:tc>
      </w:tr>
      <w:tr>
        <w:tc>
          <w:tcPr>
            <w:tcW w:type="dxa" w:w="2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decayRate</w:t>
            </w:r>
          </w:p>
        </w:tc>
        <w:tc>
          <w:tcPr>
            <w:tcW w:type="dxa" w:w="2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0.02</w:t>
            </w:r>
          </w:p>
        </w:tc>
        <w:tc>
          <w:tcPr>
            <w:tcW w:type="dxa" w:w="4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Libros decaen como insights — son conocimiento intencional</w:t>
            </w:r>
          </w:p>
        </w:tc>
      </w:tr>
      <w:tr>
        <w:tc>
          <w:tcPr>
            <w:tcW w:type="dxa" w:w="22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entities.extra.docId</w:t>
            </w:r>
          </w:p>
        </w:tc>
        <w:tc>
          <w:tcPr>
            <w:tcW w:type="dxa" w:w="22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ID del BibliotecaDoc</w:t>
            </w:r>
          </w:p>
        </w:tc>
        <w:tc>
          <w:tcPr>
            <w:tcW w:type="dxa" w:w="49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Permite regresar al documento origen</w:t>
            </w:r>
          </w:p>
        </w:tc>
      </w:tr>
      <w:tr>
        <w:tc>
          <w:tcPr>
            <w:tcW w:type="dxa" w:w="2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entities.extra.source_title</w:t>
            </w:r>
          </w:p>
        </w:tc>
        <w:tc>
          <w:tcPr>
            <w:tcW w:type="dxa" w:w="2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Título del documento</w:t>
            </w:r>
          </w:p>
        </w:tc>
        <w:tc>
          <w:tcPr>
            <w:tcW w:type="dxa" w:w="4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Contexto para el LLM al referenciar el nodo</w:t>
            </w:r>
          </w:p>
        </w:tc>
      </w:tr>
      <w:tr>
        <w:tc>
          <w:tcPr>
            <w:tcW w:type="dxa" w:w="22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entities.extra.author</w:t>
            </w:r>
          </w:p>
        </w:tc>
        <w:tc>
          <w:tcPr>
            <w:tcW w:type="dxa" w:w="22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Autor del documento</w:t>
            </w:r>
          </w:p>
        </w:tc>
        <w:tc>
          <w:tcPr>
            <w:tcW w:type="dxa" w:w="49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Provenance del conocimiento</w:t>
            </w:r>
          </w:p>
        </w:tc>
      </w:tr>
    </w:tbl>
    <w:p/>
    <w:p>
      <w:pPr>
        <w:pStyle w:val="Heading2"/>
        <w:spacing w:after="120" w:before="280"/>
      </w:pPr>
      <w:r>
        <w:rPr>
          <w:rFonts w:ascii="Calibri" w:cs="Calibri" w:eastAsia="Calibri" w:hAnsi="Calibri"/>
          <w:b/>
          <w:bCs/>
          <w:color w:val="1E1B4B"/>
          <w:sz w:val="36"/>
          <w:szCs w:val="36"/>
        </w:rPr>
        <w:t xml:space="preserve">9.3 Eliminación Cascada</w:t>
      </w:r>
    </w:p>
    <w:p>
      <w:pPr>
        <w:spacing w:after="80" w:before="80" w:line="320"/>
      </w:pPr>
      <w:r>
        <w:rPr>
          <w:rFonts w:ascii="Calibri" w:cs="Calibri" w:eastAsia="Calibri" w:hAnsi="Calibri"/>
          <w:color w:val="0F172A"/>
          <w:sz w:val="22"/>
          <w:szCs w:val="22"/>
        </w:rPr>
        <w:t xml:space="preserve">DELETE /api/nexo/pdf?docId={id} elimina el documento y todos sus nodos asociados en un batch atómico. La query busca nodos con source='pdf_library' cuyo entities.extra.docId coincida. Esto garantiza que eliminar un documento de la biblioteca también limpia el grafo de los nodos que generó, manteniendo consistencia referencial.</w:t>
      </w:r>
    </w:p>
    <w:p>
      <w:r>
        <w:br w:type="page"/>
      </w:r>
    </w:p>
    <w:p>
      <w:pPr>
        <w:pStyle w:val="Heading1"/>
        <w:spacing w:after="160" w:before="360"/>
      </w:pPr>
      <w:r>
        <w:rPr>
          <w:rFonts w:ascii="Calibri" w:cs="Calibri" w:eastAsia="Calibri" w:hAnsi="Calibri"/>
          <w:b/>
          <w:bCs/>
          <w:color w:val="0F172A"/>
          <w:sz w:val="48"/>
          <w:szCs w:val="48"/>
        </w:rPr>
        <w:t xml:space="preserve">10. Integración Multi-Motor — Publicadores del Ecosistema SOFIAA</w:t>
      </w:r>
    </w:p>
    <w:p>
      <w:pPr>
        <w:spacing w:after="80" w:before="80" w:line="320"/>
      </w:pPr>
      <w:r>
        <w:rPr>
          <w:rFonts w:ascii="Calibri" w:cs="Calibri" w:eastAsia="Calibri" w:hAnsi="Calibri"/>
          <w:color w:val="0F172A"/>
          <w:sz w:val="22"/>
          <w:szCs w:val="22"/>
        </w:rPr>
        <w:t xml:space="preserve">N.E.X.O. no es solo un sistema de capturas web personales. Es el grafo cognitivo compartido de todo el ecosistema SOFIAA. Tres extensiones publican sus entidades al grafo mediante publishers especializados, convirtiendo a N.E.X.O. en la capa semántica unificada del sistema.</w:t>
      </w:r>
    </w:p>
    <w:p/>
    <w:tbl>
      <w:tblPr>
        <w:tblW w:type="dxa" w:w="9360"/>
        <w:tblBorders>
          <w:top w:val="single" w:color="C7D2FE" w:sz="1"/>
          <w:left w:val="single" w:color="C7D2FE" w:sz="1"/>
          <w:bottom w:val="single" w:color="C7D2FE" w:sz="1"/>
          <w:right w:val="single" w:color="C7D2FE" w:sz="1"/>
          <w:insideH w:val="single" w:color="auto" w:sz="4"/>
          <w:insideV w:val="single" w:color="auto" w:sz="4"/>
        </w:tblBorders>
      </w:tblPr>
      <w:tblGrid>
        <w:gridCol w:w="100"/>
        <w:gridCol w:w="100"/>
        <w:gridCol w:w="100"/>
        <w:gridCol w:w="100"/>
      </w:tblGrid>
      <w:tr>
        <w:trPr>
          <w:tblHeader/>
        </w:trPr>
        <w:tc>
          <w:tcPr>
            <w:tcW w:type="dxa" w:w="28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Motor Publicador</w:t>
            </w:r>
          </w:p>
        </w:tc>
        <w:tc>
          <w:tcPr>
            <w:tcW w:type="dxa" w:w="12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Sprint</w:t>
            </w:r>
          </w:p>
        </w:tc>
        <w:tc>
          <w:tcPr>
            <w:tcW w:type="dxa" w:w="30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Nodos Generados</w:t>
            </w:r>
          </w:p>
        </w:tc>
        <w:tc>
          <w:tcPr>
            <w:tcW w:type="dxa" w:w="236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Source</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TEC Bii Cognitive Publisher</w:t>
            </w:r>
          </w:p>
        </w:tc>
        <w:tc>
          <w:tcPr>
            <w:tcW w:type="dxa" w:w="1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T2-1</w:t>
            </w:r>
          </w:p>
        </w:tc>
        <w:tc>
          <w:tcPr>
            <w:tcW w:type="dxa" w:w="3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1 nodo por entidad (proyecto, brief, empleado...)</w:t>
            </w:r>
          </w:p>
        </w:tc>
        <w:tc>
          <w:tcPr>
            <w:tcW w:type="dxa" w:w="23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'tec_bii'</w:t>
            </w:r>
          </w:p>
        </w:tc>
      </w:tr>
      <w:tr>
        <w:tc>
          <w:tcPr>
            <w:tcW w:type="dxa" w:w="2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PROMETEO Brand DNA Publisher</w:t>
            </w:r>
          </w:p>
        </w:tc>
        <w:tc>
          <w:tcPr>
            <w:tcW w:type="dxa" w:w="12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P-1</w:t>
            </w:r>
          </w:p>
        </w:tc>
        <w:tc>
          <w:tcPr>
            <w:tcW w:type="dxa" w:w="3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6 nodos por cliente (arquetipo, valores, tono, tabús, promesas, voz)</w:t>
            </w:r>
          </w:p>
        </w:tc>
        <w:tc>
          <w:tcPr>
            <w:tcW w:type="dxa" w:w="23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'prometeo'</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Marketing Sofia Publisher</w:t>
            </w:r>
          </w:p>
        </w:tc>
        <w:tc>
          <w:tcPr>
            <w:tcW w:type="dxa" w:w="1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P-8</w:t>
            </w:r>
          </w:p>
        </w:tc>
        <w:tc>
          <w:tcPr>
            <w:tcW w:type="dxa" w:w="3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Nodos por cliente SMM + métricas de performance</w:t>
            </w:r>
          </w:p>
        </w:tc>
        <w:tc>
          <w:tcPr>
            <w:tcW w:type="dxa" w:w="23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'marketing_sofia'</w:t>
            </w:r>
          </w:p>
        </w:tc>
      </w:tr>
    </w:tbl>
    <w:p/>
    <w:p>
      <w:pPr>
        <w:pStyle w:val="Heading2"/>
        <w:spacing w:after="120" w:before="280"/>
      </w:pPr>
      <w:r>
        <w:rPr>
          <w:rFonts w:ascii="Calibri" w:cs="Calibri" w:eastAsia="Calibri" w:hAnsi="Calibri"/>
          <w:b/>
          <w:bCs/>
          <w:color w:val="1E1B4B"/>
          <w:sz w:val="36"/>
          <w:szCs w:val="36"/>
        </w:rPr>
        <w:t xml:space="preserve">10.1 Flujo Común de Publicación</w:t>
      </w:r>
    </w:p>
    <w:p>
      <w:pPr>
        <w:spacing w:after="80" w:before="80" w:line="320"/>
      </w:pPr>
      <w:r>
        <w:rPr>
          <w:rFonts w:ascii="Calibri" w:cs="Calibri" w:eastAsia="Calibri" w:hAnsi="Calibri"/>
          <w:color w:val="0F172A"/>
          <w:sz w:val="22"/>
          <w:szCs w:val="22"/>
        </w:rPr>
        <w:t xml:space="preserve">Los tres publishers siguen el mismo patrón arquitectónico, definido inicialmente en cognitive-publisher.ts de TEC Bii y replicado en los módulos siguientes:</w:t>
      </w:r>
    </w:p>
    <w:p>
      <w:pPr>
        <w:spacing w:after="60" w:before="60"/>
        <w:ind w:left="360"/>
      </w:pPr>
      <w:r>
        <w:rPr>
          <w:rFonts w:ascii="Courier New" w:cs="Courier New" w:eastAsia="Courier New" w:hAnsi="Courier New"/>
          <w:color w:val="166534"/>
          <w:sz w:val="18"/>
          <w:szCs w:val="18"/>
        </w:rPr>
        <w:t xml:space="preserve">1. buildSummaryPrompt(entity) → prompt específico por tipo de entidad</w:t>
      </w:r>
    </w:p>
    <w:p>
      <w:pPr>
        <w:spacing w:after="60" w:before="60"/>
        <w:ind w:left="360"/>
      </w:pPr>
      <w:r>
        <w:rPr>
          <w:rFonts w:ascii="Courier New" w:cs="Courier New" w:eastAsia="Courier New" w:hAnsi="Courier New"/>
          <w:color w:val="166534"/>
          <w:sz w:val="18"/>
          <w:szCs w:val="18"/>
        </w:rPr>
        <w:t xml:space="preserve">2. callGroq(prompt, { maxTokens:180, temperature:0.3 }) → aiSummary</w:t>
      </w:r>
    </w:p>
    <w:p>
      <w:pPr>
        <w:spacing w:after="60" w:before="60"/>
        <w:ind w:left="360"/>
      </w:pPr>
      <w:r>
        <w:rPr>
          <w:rFonts w:ascii="Courier New" w:cs="Courier New" w:eastAsia="Courier New" w:hAnsi="Courier New"/>
          <w:color w:val="166534"/>
          <w:sz w:val="18"/>
          <w:szCs w:val="18"/>
        </w:rPr>
        <w:t xml:space="preserve">3. generateEmbedding(title + '. ' + aiSummary) → vector</w:t>
      </w:r>
    </w:p>
    <w:p>
      <w:pPr>
        <w:spacing w:after="60" w:before="60"/>
        <w:ind w:left="360"/>
      </w:pPr>
      <w:r>
        <w:rPr>
          <w:rFonts w:ascii="Courier New" w:cs="Courier New" w:eastAsia="Courier New" w:hAnsi="Courier New"/>
          <w:color w:val="166534"/>
          <w:sz w:val="18"/>
          <w:szCs w:val="18"/>
        </w:rPr>
        <w:t xml:space="preserve">4. upsertNexoNode(uid, node) → inserta o actualiza en nexo_nodes</w:t>
      </w:r>
    </w:p>
    <w:p>
      <w:pPr>
        <w:spacing w:after="60" w:before="60"/>
        <w:ind w:left="360"/>
      </w:pPr>
      <w:r>
        <w:rPr>
          <w:rFonts w:ascii="Courier New" w:cs="Courier New" w:eastAsia="Courier New" w:hAnsi="Courier New"/>
          <w:color w:val="166534"/>
          <w:sz w:val="18"/>
          <w:szCs w:val="18"/>
        </w:rPr>
        <w:t xml:space="preserve">5. docRef.update({ nexoNodeId, aiSummary, lastCognitiveSync }) → marca entidad</w:t>
      </w:r>
    </w:p>
    <w:p/>
    <w:p>
      <w:pPr>
        <w:pStyle w:val="Heading2"/>
        <w:spacing w:after="120" w:before="280"/>
      </w:pPr>
      <w:r>
        <w:rPr>
          <w:rFonts w:ascii="Calibri" w:cs="Calibri" w:eastAsia="Calibri" w:hAnsi="Calibri"/>
          <w:b/>
          <w:bCs/>
          <w:color w:val="1E1B4B"/>
          <w:sz w:val="36"/>
          <w:szCs w:val="36"/>
        </w:rPr>
        <w:t xml:space="preserve">10.2 Diferencias por Publisher</w:t>
      </w:r>
    </w:p>
    <w:tbl>
      <w:tblPr>
        <w:tblW w:type="dxa" w:w="9360"/>
        <w:tblBorders>
          <w:top w:val="single" w:color="C7D2FE" w:sz="1"/>
          <w:left w:val="single" w:color="C7D2FE" w:sz="1"/>
          <w:bottom w:val="single" w:color="C7D2FE" w:sz="1"/>
          <w:right w:val="single" w:color="C7D2FE" w:sz="1"/>
          <w:insideH w:val="single" w:color="auto" w:sz="4"/>
          <w:insideV w:val="single" w:color="auto" w:sz="4"/>
        </w:tblBorders>
      </w:tblPr>
      <w:tblGrid>
        <w:gridCol w:w="100"/>
        <w:gridCol w:w="100"/>
        <w:gridCol w:w="100"/>
        <w:gridCol w:w="100"/>
      </w:tblGrid>
      <w:tr>
        <w:trPr>
          <w:tblHeader/>
        </w:trPr>
        <w:tc>
          <w:tcPr>
            <w:tcW w:type="dxa" w:w="28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Publisher</w:t>
            </w:r>
          </w:p>
        </w:tc>
        <w:tc>
          <w:tcPr>
            <w:tcW w:type="dxa" w:w="12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decayRate</w:t>
            </w:r>
          </w:p>
        </w:tc>
        <w:tc>
          <w:tcPr>
            <w:tcW w:type="dxa" w:w="24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importanceScore</w:t>
            </w:r>
          </w:p>
        </w:tc>
        <w:tc>
          <w:tcPr>
            <w:tcW w:type="dxa" w:w="296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nodeId Pattern</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TEC Bii Cognitive Publisher</w:t>
            </w:r>
          </w:p>
        </w:tc>
        <w:tc>
          <w:tcPr>
            <w:tcW w:type="dxa" w:w="1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0.03</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Calculado (calcularImportancia)</w:t>
            </w:r>
          </w:p>
        </w:tc>
        <w:tc>
          <w:tcPr>
            <w:tcW w:type="dxa" w:w="2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'tec-bii:{type}:{entityId}'</w:t>
            </w:r>
          </w:p>
        </w:tc>
      </w:tr>
      <w:tr>
        <w:tc>
          <w:tcPr>
            <w:tcW w:type="dxa" w:w="2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PROMETEO Brand DNA Publisher</w:t>
            </w:r>
          </w:p>
        </w:tc>
        <w:tc>
          <w:tcPr>
            <w:tcW w:type="dxa" w:w="12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NEXO_DECAY_RATE (0.05)</w:t>
            </w:r>
          </w:p>
        </w:tc>
        <w:tc>
          <w:tcPr>
            <w:tcW w:type="dxa" w:w="24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0.85 (fijo — alta importancia)</w:t>
            </w:r>
          </w:p>
        </w:tc>
        <w:tc>
          <w:tcPr>
            <w:tcW w:type="dxa" w:w="29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'nexo:brand_{nodeType}:{slug}'</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Marketing Sofia Publisher</w:t>
            </w:r>
          </w:p>
        </w:tc>
        <w:tc>
          <w:tcPr>
            <w:tcW w:type="dxa" w:w="1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NEXO_DECAY_RATE (0.05)</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Variable por tipo de nodo</w:t>
            </w:r>
          </w:p>
        </w:tc>
        <w:tc>
          <w:tcPr>
            <w:tcW w:type="dxa" w:w="2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'nexo:smm_{type}:{slug}'</w:t>
            </w:r>
          </w:p>
        </w:tc>
      </w:tr>
    </w:tbl>
    <w:p/>
    <w:p>
      <w:pPr>
        <w:pStyle w:val="Heading2"/>
        <w:spacing w:after="120" w:before="280"/>
      </w:pPr>
      <w:r>
        <w:rPr>
          <w:rFonts w:ascii="Calibri" w:cs="Calibri" w:eastAsia="Calibri" w:hAnsi="Calibri"/>
          <w:b/>
          <w:bCs/>
          <w:color w:val="1E1B4B"/>
          <w:sz w:val="36"/>
          <w:szCs w:val="36"/>
        </w:rPr>
        <w:t xml:space="preserve">10.3 Cross-Domain Reasoning en TEC Bii</w:t>
      </w:r>
    </w:p>
    <w:p>
      <w:pPr>
        <w:spacing w:after="80" w:before="80" w:line="320"/>
      </w:pPr>
      <w:r>
        <w:rPr>
          <w:rFonts w:ascii="Calibri" w:cs="Calibri" w:eastAsia="Calibri" w:hAnsi="Calibri"/>
          <w:color w:val="0F172A"/>
          <w:sz w:val="22"/>
          <w:szCs w:val="22"/>
        </w:rPr>
        <w:t xml:space="preserve">El Cross-Domain Engine de TEC Bii (Sprint T2-4) aprovecha la coexistencia de nodos TEC Bii y capturas web personales en el mismo grafo para generar hipótesis semánticas. Separa los nodos por source ('tec_bii' vs otros), calcula similitud coseno ≥0.60 entre pares, y genera hipótesis en lenguaje natural cuando detecta conexión. El grafo unificado de N.E.X.O. hace posible este razonamiento cruzado sin infraestructura adicional.</w:t>
      </w:r>
    </w:p>
    <w:p>
      <w:r>
        <w:br w:type="page"/>
      </w:r>
    </w:p>
    <w:p>
      <w:pPr>
        <w:pStyle w:val="Heading1"/>
        <w:spacing w:after="160" w:before="360"/>
      </w:pPr>
      <w:r>
        <w:rPr>
          <w:rFonts w:ascii="Calibri" w:cs="Calibri" w:eastAsia="Calibri" w:hAnsi="Calibri"/>
          <w:b/>
          <w:bCs/>
          <w:color w:val="0F172A"/>
          <w:sz w:val="48"/>
          <w:szCs w:val="48"/>
        </w:rPr>
        <w:t xml:space="preserve">11. Persistencia y Operaciones Firestore</w:t>
      </w:r>
    </w:p>
    <w:p>
      <w:pPr>
        <w:spacing w:after="80" w:before="80" w:line="320"/>
      </w:pPr>
      <w:r>
        <w:rPr>
          <w:rFonts w:ascii="Calibri" w:cs="Calibri" w:eastAsia="Calibri" w:hAnsi="Calibri"/>
          <w:color w:val="0F172A"/>
          <w:sz w:val="22"/>
          <w:szCs w:val="22"/>
        </w:rPr>
        <w:t xml:space="preserve">N.E.X.O. usa Firebase Firestore (Admin SDK, server-side) como su única capa de persistencia. El schema de colecciones está diseñado para escalar horizontalmente por usuario y soportar las queries de los motores de decay, retrieval y reflection sin índices compuestos complejos.</w:t>
      </w:r>
    </w:p>
    <w:p/>
    <w:p>
      <w:pPr>
        <w:pStyle w:val="Heading2"/>
        <w:spacing w:after="120" w:before="280"/>
      </w:pPr>
      <w:r>
        <w:rPr>
          <w:rFonts w:ascii="Calibri" w:cs="Calibri" w:eastAsia="Calibri" w:hAnsi="Calibri"/>
          <w:b/>
          <w:bCs/>
          <w:color w:val="1E1B4B"/>
          <w:sz w:val="36"/>
          <w:szCs w:val="36"/>
        </w:rPr>
        <w:t xml:space="preserve">11.1 Paths de Colecciones</w:t>
      </w:r>
    </w:p>
    <w:tbl>
      <w:tblPr>
        <w:tblW w:type="dxa" w:w="9360"/>
        <w:tblBorders>
          <w:top w:val="single" w:color="C7D2FE" w:sz="1"/>
          <w:left w:val="single" w:color="C7D2FE" w:sz="1"/>
          <w:bottom w:val="single" w:color="C7D2FE" w:sz="1"/>
          <w:right w:val="single" w:color="C7D2FE" w:sz="1"/>
          <w:insideH w:val="single" w:color="auto" w:sz="4"/>
          <w:insideV w:val="single" w:color="auto" w:sz="4"/>
        </w:tblBorders>
      </w:tblPr>
      <w:tblGrid>
        <w:gridCol w:w="100"/>
        <w:gridCol w:w="100"/>
        <w:gridCol w:w="100"/>
      </w:tblGrid>
      <w:tr>
        <w:trPr>
          <w:tblHeader/>
        </w:trPr>
        <w:tc>
          <w:tcPr>
            <w:tcW w:type="dxa" w:w="32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Path</w:t>
            </w:r>
          </w:p>
        </w:tc>
        <w:tc>
          <w:tcPr>
            <w:tcW w:type="dxa" w:w="24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Contenido</w:t>
            </w:r>
          </w:p>
        </w:tc>
        <w:tc>
          <w:tcPr>
            <w:tcW w:type="dxa" w:w="376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Queries Principales</w:t>
            </w:r>
          </w:p>
        </w:tc>
      </w:tr>
      <w:tr>
        <w:tc>
          <w:tcPr>
            <w:tcW w:type="dxa" w:w="3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users/{uid}/nexo_nodes/{nodeId}</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NexoNode completo con embedding</w:t>
            </w:r>
          </w:p>
        </w:tc>
        <w:tc>
          <w:tcPr>
            <w:tcW w:type="dxa" w:w="37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where('weight','&gt;',0.05) + orderBy, collectionGroup</w:t>
            </w:r>
          </w:p>
        </w:tc>
      </w:tr>
      <w:tr>
        <w:tc>
          <w:tcPr>
            <w:tcW w:type="dxa" w:w="32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users/{uid}/nexo_events/{eventId}</w:t>
            </w:r>
          </w:p>
        </w:tc>
        <w:tc>
          <w:tcPr>
            <w:tcW w:type="dxa" w:w="24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NexoEvent de pipeline (audit)</w:t>
            </w:r>
          </w:p>
        </w:tc>
        <w:tc>
          <w:tcPr>
            <w:tcW w:type="dxa" w:w="37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orderBy('timestamp') — panel N.O.R.A.</w:t>
            </w:r>
          </w:p>
        </w:tc>
      </w:tr>
      <w:tr>
        <w:tc>
          <w:tcPr>
            <w:tcW w:type="dxa" w:w="3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users/{uid}/biblioteca/{docId}</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BibliotecaDoc (metadata de PDFs)</w:t>
            </w:r>
          </w:p>
        </w:tc>
        <w:tc>
          <w:tcPr>
            <w:tcW w:type="dxa" w:w="37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orderBy('createdAt') — panel biblioteca</w:t>
            </w:r>
          </w:p>
        </w:tc>
      </w:tr>
    </w:tbl>
    <w:p/>
    <w:p>
      <w:pPr>
        <w:pStyle w:val="Heading2"/>
        <w:spacing w:after="120" w:before="280"/>
      </w:pPr>
      <w:r>
        <w:rPr>
          <w:rFonts w:ascii="Calibri" w:cs="Calibri" w:eastAsia="Calibri" w:hAnsi="Calibri"/>
          <w:b/>
          <w:bCs/>
          <w:color w:val="1E1B4B"/>
          <w:sz w:val="36"/>
          <w:szCs w:val="36"/>
        </w:rPr>
        <w:t xml:space="preserve">11.2 upsertNexoNode() — Deduplicación Inteligente</w:t>
      </w:r>
    </w:p>
    <w:p>
      <w:pPr>
        <w:spacing w:after="80" w:before="80" w:line="320"/>
      </w:pPr>
      <w:r>
        <w:rPr>
          <w:rFonts w:ascii="Calibri" w:cs="Calibri" w:eastAsia="Calibri" w:hAnsi="Calibri"/>
          <w:color w:val="0F172A"/>
          <w:sz w:val="22"/>
          <w:szCs w:val="22"/>
        </w:rPr>
        <w:t xml:space="preserve">La función upsertNexoNode() implementa una estrategia de merge inteligente: antes de crear un nuevo nodo, verifica si ya existe uno con la misma URL (col.where('url','==',node.url).limit(1).get()). Si existe, aplica un boost de +0.15 al peso y actualiza lastReinforced, sin crear duplicado. Si no existe, crea el nodo con doc().set(node). Los nodos sin URL (screenshots, TEC Bii, PROMETEO) siempre crean documento nuevo, usando el nodeId como clave de idempotencia.</w:t>
      </w:r>
    </w:p>
    <w:p/>
    <w:p>
      <w:pPr>
        <w:pStyle w:val="Heading2"/>
        <w:spacing w:after="120" w:before="280"/>
      </w:pPr>
      <w:r>
        <w:rPr>
          <w:rFonts w:ascii="Calibri" w:cs="Calibri" w:eastAsia="Calibri" w:hAnsi="Calibri"/>
          <w:b/>
          <w:bCs/>
          <w:color w:val="1E1B4B"/>
          <w:sz w:val="36"/>
          <w:szCs w:val="36"/>
        </w:rPr>
        <w:t xml:space="preserve">11.3 Operaciones de Privacidad</w:t>
      </w:r>
    </w:p>
    <w:p>
      <w:pPr>
        <w:spacing w:after="80" w:before="80" w:line="320"/>
      </w:pPr>
      <w:r>
        <w:rPr>
          <w:rFonts w:ascii="Calibri" w:cs="Calibri" w:eastAsia="Calibri" w:hAnsi="Calibri"/>
          <w:color w:val="0F172A"/>
          <w:sz w:val="22"/>
          <w:szCs w:val="22"/>
        </w:rPr>
        <w:t xml:space="preserve">N.E.X.O. expone dos operaciones de control de privacidad sobre el grafo: deleteNexoNode(uid, nodeId) para eliminar un nodo individual, y clearAllNexoNodes(uid) para borrar todo el grafo del usuario. Esta última usa un batch delete que procesa todos los documentos de la colección en una sola operación atómica. Ambas operaciones están disponibles en el panel /nexo/mi-grafo donde el usuario puede ver y controlar su memoria.</w:t>
      </w:r>
    </w:p>
    <w:p>
      <w:r>
        <w:br w:type="page"/>
      </w:r>
    </w:p>
    <w:p>
      <w:pPr>
        <w:pStyle w:val="Heading1"/>
        <w:spacing w:after="160" w:before="360"/>
      </w:pPr>
      <w:r>
        <w:rPr>
          <w:rFonts w:ascii="Calibri" w:cs="Calibri" w:eastAsia="Calibri" w:hAnsi="Calibri"/>
          <w:b/>
          <w:bCs/>
          <w:color w:val="0F172A"/>
          <w:sz w:val="48"/>
          <w:szCs w:val="48"/>
        </w:rPr>
        <w:t xml:space="preserve">12. Chrome Extension MVP — Canal de Captura Activa (Sprint N-1)</w:t>
      </w:r>
    </w:p>
    <w:p>
      <w:pPr>
        <w:spacing w:after="80" w:before="80" w:line="320"/>
      </w:pPr>
      <w:r>
        <w:rPr>
          <w:rFonts w:ascii="Calibri" w:cs="Calibri" w:eastAsia="Calibri" w:hAnsi="Calibri"/>
          <w:color w:val="0F172A"/>
          <w:sz w:val="22"/>
          <w:szCs w:val="22"/>
        </w:rPr>
        <w:t xml:space="preserve">La Chrome Extension es el canal principal de ingesta de contenido web. Permite al usuario capturar el contenido de cualquier página con un solo clic, enviando el título, URL y texto DOM extraído del page.innerText al endpoint /api/nexo/ingest con el ID token de Firebase para autenticación.</w:t>
      </w:r>
    </w:p>
    <w:p/>
    <w:p>
      <w:pPr>
        <w:pStyle w:val="Heading2"/>
        <w:spacing w:after="120" w:before="280"/>
      </w:pPr>
      <w:r>
        <w:rPr>
          <w:rFonts w:ascii="Calibri" w:cs="Calibri" w:eastAsia="Calibri" w:hAnsi="Calibri"/>
          <w:b/>
          <w:bCs/>
          <w:color w:val="1E1B4B"/>
          <w:sz w:val="36"/>
          <w:szCs w:val="36"/>
        </w:rPr>
        <w:t xml:space="preserve">12.1 Arquitectura de la Extensión</w:t>
      </w:r>
    </w:p>
    <w:p>
      <w:pPr>
        <w:spacing w:after="80" w:before="80" w:line="320"/>
      </w:pPr>
      <w:r>
        <w:rPr>
          <w:rFonts w:ascii="Calibri" w:cs="Calibri" w:eastAsia="Calibri" w:hAnsi="Calibri"/>
          <w:color w:val="0F172A"/>
          <w:sz w:val="22"/>
          <w:szCs w:val="22"/>
        </w:rPr>
        <w:t xml:space="preserve">La extensión sigue el patrón manifest v3 con service worker. Tiene tres componentes: popup.html (interfaz de captura con botón y feedback visual), content.js (extrae page.innerText desde el tab activo), y background.js (envía el request autenticado a /api/nexo/ingest). La autenticación Firebase fluye desde la sesión web de SOFIAA hacia la extensión via chrome.storage.local donde se persiste el ID token.</w:t>
      </w:r>
    </w:p>
    <w:p/>
    <w:p>
      <w:pPr>
        <w:pStyle w:val="Heading2"/>
        <w:spacing w:after="120" w:before="280"/>
      </w:pPr>
      <w:r>
        <w:rPr>
          <w:rFonts w:ascii="Calibri" w:cs="Calibri" w:eastAsia="Calibri" w:hAnsi="Calibri"/>
          <w:b/>
          <w:bCs/>
          <w:color w:val="1E1B4B"/>
          <w:sz w:val="36"/>
          <w:szCs w:val="36"/>
        </w:rPr>
        <w:t xml:space="preserve">12.2 PWA Share Target — Captura Mobile (Sprint N-6)</w:t>
      </w:r>
    </w:p>
    <w:p>
      <w:pPr>
        <w:spacing w:after="80" w:before="80" w:line="320"/>
      </w:pPr>
      <w:r>
        <w:rPr>
          <w:rFonts w:ascii="Calibri" w:cs="Calibri" w:eastAsia="Calibri" w:hAnsi="Calibri"/>
          <w:color w:val="0F172A"/>
          <w:sz w:val="22"/>
          <w:szCs w:val="22"/>
        </w:rPr>
        <w:t xml:space="preserve">En dispositivos móviles, N.E.X.O. opera como PWA Share Target registrada en el manifest.json de SOFIAA. Cuando el usuario comparte cualquier URL o texto desde otra app (Safari, Instagram, Maps), iOS/Android abre SOFIAA como destino del share con el contenido pre-llenado. El flujo es idéntico al de la extensión: autenticación Firebase + POST /api/nexo/ingest con source='pwa_share'.</w:t>
      </w:r>
    </w:p>
    <w:p>
      <w:r>
        <w:br w:type="page"/>
      </w:r>
    </w:p>
    <w:p>
      <w:pPr>
        <w:pStyle w:val="Heading1"/>
        <w:spacing w:after="160" w:before="360"/>
      </w:pPr>
      <w:r>
        <w:rPr>
          <w:rFonts w:ascii="Calibri" w:cs="Calibri" w:eastAsia="Calibri" w:hAnsi="Calibri"/>
          <w:b/>
          <w:bCs/>
          <w:color w:val="0F172A"/>
          <w:sz w:val="48"/>
          <w:szCs w:val="48"/>
        </w:rPr>
        <w:t xml:space="preserve">13. Privacy Dashboard — Mi Grafo (Sprint N-7)</w:t>
      </w:r>
    </w:p>
    <w:p>
      <w:pPr>
        <w:spacing w:after="80" w:before="80" w:line="320"/>
      </w:pPr>
      <w:r>
        <w:rPr>
          <w:rFonts w:ascii="Calibri" w:cs="Calibri" w:eastAsia="Calibri" w:hAnsi="Calibri"/>
          <w:color w:val="0F172A"/>
          <w:sz w:val="22"/>
          <w:szCs w:val="22"/>
        </w:rPr>
        <w:t xml:space="preserve">El panel /nexo/mi-grafo es la interfaz de transparencia cognitiva del sistema. Permite al usuario visualizar su grafo de memoria, ver qué nodos tiene SOFIAA sobre él, identificar cuáles ha usado activamente (badge 🔁) y eliminar los que no quiere que persistan. Este panel fue diseñado desde el Sprint N-7 como requisito ético fundamental: el usuario tiene control total sobre su propia memoria.</w:t>
      </w:r>
    </w:p>
    <w:p/>
    <w:tbl>
      <w:tblPr>
        <w:tblW w:type="dxa" w:w="9360"/>
        <w:tblBorders>
          <w:top w:val="single" w:color="C7D2FE" w:sz="1"/>
          <w:left w:val="single" w:color="C7D2FE" w:sz="1"/>
          <w:bottom w:val="single" w:color="C7D2FE" w:sz="1"/>
          <w:right w:val="single" w:color="C7D2FE" w:sz="1"/>
          <w:insideH w:val="single" w:color="auto" w:sz="4"/>
          <w:insideV w:val="single" w:color="auto" w:sz="4"/>
        </w:tblBorders>
      </w:tblPr>
      <w:tblGrid>
        <w:gridCol w:w="100"/>
        <w:gridCol w:w="100"/>
        <w:gridCol w:w="100"/>
      </w:tblGrid>
      <w:tr>
        <w:trPr>
          <w:tblHeader/>
        </w:trPr>
        <w:tc>
          <w:tcPr>
            <w:tcW w:type="dxa" w:w="22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Elemento UI</w:t>
            </w:r>
          </w:p>
        </w:tc>
        <w:tc>
          <w:tcPr>
            <w:tcW w:type="dxa" w:w="26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Dato Mostrado</w:t>
            </w:r>
          </w:p>
        </w:tc>
        <w:tc>
          <w:tcPr>
            <w:tcW w:type="dxa" w:w="456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Fuente</w:t>
            </w:r>
          </w:p>
        </w:tc>
      </w:tr>
      <w:tr>
        <w:tc>
          <w:tcPr>
            <w:tcW w:type="dxa" w:w="2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Contador total</w:t>
            </w:r>
          </w:p>
        </w:tc>
        <w:tc>
          <w:tcPr>
            <w:tcW w:type="dxa" w:w="2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Total de nodos en el grafo</w:t>
            </w:r>
          </w:p>
        </w:tc>
        <w:tc>
          <w:tcPr>
            <w:tcW w:type="dxa" w:w="4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getNexoNodes().length</w:t>
            </w:r>
          </w:p>
        </w:tc>
      </w:tr>
      <w:tr>
        <w:tc>
          <w:tcPr>
            <w:tcW w:type="dxa" w:w="22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Nodo card</w:t>
            </w:r>
          </w:p>
        </w:tc>
        <w:tc>
          <w:tcPr>
            <w:tcW w:type="dxa" w:w="26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Title, category, summary, daysAgo, weight</w:t>
            </w:r>
          </w:p>
        </w:tc>
        <w:tc>
          <w:tcPr>
            <w:tcW w:type="dxa" w:w="45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NexoNode fields</w:t>
            </w:r>
          </w:p>
        </w:tc>
      </w:tr>
      <w:tr>
        <w:tc>
          <w:tcPr>
            <w:tcW w:type="dxa" w:w="2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Badge 🔁</w:t>
            </w:r>
          </w:p>
        </w:tc>
        <w:tc>
          <w:tcPr>
            <w:tcW w:type="dxa" w:w="2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reinforceCount &gt; 0 → nodo usado por SOFIAA</w:t>
            </w:r>
          </w:p>
        </w:tc>
        <w:tc>
          <w:tcPr>
            <w:tcW w:type="dxa" w:w="4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reinforceCount field (Sprint M-2)</w:t>
            </w:r>
          </w:p>
        </w:tc>
      </w:tr>
      <w:tr>
        <w:tc>
          <w:tcPr>
            <w:tcW w:type="dxa" w:w="22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Badge de peso</w:t>
            </w:r>
          </w:p>
        </w:tc>
        <w:tc>
          <w:tcPr>
            <w:tcW w:type="dxa" w:w="26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0.0–1.0 → porcentaje de relevancia actual</w:t>
            </w:r>
          </w:p>
        </w:tc>
        <w:tc>
          <w:tcPr>
            <w:tcW w:type="dxa" w:w="45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weight field</w:t>
            </w:r>
          </w:p>
        </w:tc>
      </w:tr>
      <w:tr>
        <w:tc>
          <w:tcPr>
            <w:tcW w:type="dxa" w:w="2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Botón eliminar</w:t>
            </w:r>
          </w:p>
        </w:tc>
        <w:tc>
          <w:tcPr>
            <w:tcW w:type="dxa" w:w="2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deleteNexoNode(uid, nodeId)</w:t>
            </w:r>
          </w:p>
        </w:tc>
        <w:tc>
          <w:tcPr>
            <w:tcW w:type="dxa" w:w="4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DELETE /api/nexo/{nodeId}</w:t>
            </w:r>
          </w:p>
        </w:tc>
      </w:tr>
      <w:tr>
        <w:tc>
          <w:tcPr>
            <w:tcW w:type="dxa" w:w="22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Botón vaciar</w:t>
            </w:r>
          </w:p>
        </w:tc>
        <w:tc>
          <w:tcPr>
            <w:tcW w:type="dxa" w:w="26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clearAllNexoNodes(uid)</w:t>
            </w:r>
          </w:p>
        </w:tc>
        <w:tc>
          <w:tcPr>
            <w:tcW w:type="dxa" w:w="45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DELETE /api/nexo?clear=all</w:t>
            </w:r>
          </w:p>
        </w:tc>
      </w:tr>
      <w:tr>
        <w:tc>
          <w:tcPr>
            <w:tcW w:type="dxa" w:w="2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Sección Biblioteca</w:t>
            </w:r>
          </w:p>
        </w:tc>
        <w:tc>
          <w:tcPr>
            <w:tcW w:type="dxa" w:w="2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Lista de PDFs procesados</w:t>
            </w:r>
          </w:p>
        </w:tc>
        <w:tc>
          <w:tcPr>
            <w:tcW w:type="dxa" w:w="4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users/{uid}/biblioteca</w:t>
            </w:r>
          </w:p>
        </w:tc>
      </w:tr>
    </w:tbl>
    <w:p>
      <w:r>
        <w:br w:type="page"/>
      </w:r>
    </w:p>
    <w:p>
      <w:pPr>
        <w:pStyle w:val="Heading1"/>
        <w:spacing w:after="160" w:before="360"/>
      </w:pPr>
      <w:r>
        <w:rPr>
          <w:rFonts w:ascii="Calibri" w:cs="Calibri" w:eastAsia="Calibri" w:hAnsi="Calibri"/>
          <w:b/>
          <w:bCs/>
          <w:color w:val="0F172A"/>
          <w:sz w:val="48"/>
          <w:szCs w:val="48"/>
        </w:rPr>
        <w:t xml:space="preserve">14. Historia de Sprints — De Captura a Cognición</w:t>
      </w:r>
    </w:p>
    <w:p>
      <w:pPr>
        <w:spacing w:after="80" w:before="80" w:line="320"/>
      </w:pPr>
      <w:r>
        <w:rPr>
          <w:rFonts w:ascii="Calibri" w:cs="Calibri" w:eastAsia="Calibri" w:hAnsi="Calibri"/>
          <w:color w:val="0F172A"/>
          <w:sz w:val="22"/>
          <w:szCs w:val="22"/>
        </w:rPr>
        <w:t xml:space="preserve">N.E.X.O. evolucionó en dos fases: los sprints N-0 a N-7 construyeron la infraestructura de captura y persistencia; los sprints M-0 a M-4B añadieron inteligencia cognitiva progresiva. El sistema pasó de ser un 'bookmark inteligente' a un grafo de experiencia que aprende, refuerza, decae y reflexiona.</w:t>
      </w:r>
    </w:p>
    <w:p/>
    <w:tbl>
      <w:tblPr>
        <w:tblW w:type="dxa" w:w="9360"/>
        <w:tblBorders>
          <w:top w:val="single" w:color="C7D2FE" w:sz="1"/>
          <w:left w:val="single" w:color="C7D2FE" w:sz="1"/>
          <w:bottom w:val="single" w:color="C7D2FE" w:sz="1"/>
          <w:right w:val="single" w:color="C7D2FE" w:sz="1"/>
          <w:insideH w:val="single" w:color="auto" w:sz="4"/>
          <w:insideV w:val="single" w:color="auto" w:sz="4"/>
        </w:tblBorders>
      </w:tblPr>
      <w:tblGrid>
        <w:gridCol w:w="100"/>
        <w:gridCol w:w="100"/>
        <w:gridCol w:w="100"/>
      </w:tblGrid>
      <w:tr>
        <w:trPr>
          <w:tblHeader/>
        </w:trPr>
        <w:tc>
          <w:tcPr>
            <w:tcW w:type="dxa" w:w="10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Sprint</w:t>
            </w:r>
          </w:p>
        </w:tc>
        <w:tc>
          <w:tcPr>
            <w:tcW w:type="dxa" w:w="24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Nombre</w:t>
            </w:r>
          </w:p>
        </w:tc>
        <w:tc>
          <w:tcPr>
            <w:tcW w:type="dxa" w:w="596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Capacidad Añadida</w:t>
            </w:r>
          </w:p>
        </w:tc>
      </w:tr>
      <w:tr>
        <w:tc>
          <w:tcPr>
            <w:tcW w:type="dxa" w:w="1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N-0</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Contratos y Fundación</w:t>
            </w:r>
          </w:p>
        </w:tc>
        <w:tc>
          <w:tcPr>
            <w:tcW w:type="dxa" w:w="5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NexoNode schema, NexoCategory, constantes, Firestore helpers</w:t>
            </w:r>
          </w:p>
        </w:tc>
      </w:tr>
      <w:tr>
        <w:tc>
          <w:tcPr>
            <w:tcW w:type="dxa" w:w="1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N-1</w:t>
            </w:r>
          </w:p>
        </w:tc>
        <w:tc>
          <w:tcPr>
            <w:tcW w:type="dxa" w:w="24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Chrome Extension MVP</w:t>
            </w:r>
          </w:p>
        </w:tc>
        <w:tc>
          <w:tcPr>
            <w:tcW w:type="dxa" w:w="59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Extensión manifest v3, captura desde browser con Firebase auth</w:t>
            </w:r>
          </w:p>
        </w:tc>
      </w:tr>
      <w:tr>
        <w:tc>
          <w:tcPr>
            <w:tcW w:type="dxa" w:w="1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N-2</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Pipeline de Ingesta LLM</w:t>
            </w:r>
          </w:p>
        </w:tc>
        <w:tc>
          <w:tcPr>
            <w:tcW w:type="dxa" w:w="5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POST /api/nexo/ingest, LLM Classifier con Groq, NexoEvent</w:t>
            </w:r>
          </w:p>
        </w:tc>
      </w:tr>
      <w:tr>
        <w:tc>
          <w:tcPr>
            <w:tcW w:type="dxa" w:w="1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N-3</w:t>
            </w:r>
          </w:p>
        </w:tc>
        <w:tc>
          <w:tcPr>
            <w:tcW w:type="dxa" w:w="24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Decay Engine</w:t>
            </w:r>
          </w:p>
        </w:tc>
        <w:tc>
          <w:tcPr>
            <w:tcW w:type="dxa" w:w="59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GET /api/nexo/decay, applyNexoDecay(), lambda adaptativo por categoría</w:t>
            </w:r>
          </w:p>
        </w:tc>
      </w:tr>
      <w:tr>
        <w:tc>
          <w:tcPr>
            <w:tcW w:type="dxa" w:w="1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N-4</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Context Injection</w:t>
            </w:r>
          </w:p>
        </w:tc>
        <w:tc>
          <w:tcPr>
            <w:tcW w:type="dxa" w:w="5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getNexoContext(), inyección en system prompt, top-5 por peso</w:t>
            </w:r>
          </w:p>
        </w:tc>
      </w:tr>
      <w:tr>
        <w:tc>
          <w:tcPr>
            <w:tcW w:type="dxa" w:w="1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N-5</w:t>
            </w:r>
          </w:p>
        </w:tc>
        <w:tc>
          <w:tcPr>
            <w:tcW w:type="dxa" w:w="24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Action Cards</w:t>
            </w:r>
          </w:p>
        </w:tc>
        <w:tc>
          <w:tcPr>
            <w:tcW w:type="dxa" w:w="59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Tarjetas de acción en el chat basadas en nodos NEXO</w:t>
            </w:r>
          </w:p>
        </w:tc>
      </w:tr>
      <w:tr>
        <w:tc>
          <w:tcPr>
            <w:tcW w:type="dxa" w:w="1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N-6</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PWA Share Target Mobile</w:t>
            </w:r>
          </w:p>
        </w:tc>
        <w:tc>
          <w:tcPr>
            <w:tcW w:type="dxa" w:w="5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manifest.json share_target, captura desde móvil</w:t>
            </w:r>
          </w:p>
        </w:tc>
      </w:tr>
      <w:tr>
        <w:tc>
          <w:tcPr>
            <w:tcW w:type="dxa" w:w="1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N-7</w:t>
            </w:r>
          </w:p>
        </w:tc>
        <w:tc>
          <w:tcPr>
            <w:tcW w:type="dxa" w:w="24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Privacy Dashboard</w:t>
            </w:r>
          </w:p>
        </w:tc>
        <w:tc>
          <w:tcPr>
            <w:tcW w:type="dxa" w:w="59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/nexo/mi-grafo — visualización y control del grafo</w:t>
            </w:r>
          </w:p>
        </w:tc>
      </w:tr>
      <w:tr>
        <w:tc>
          <w:tcPr>
            <w:tcW w:type="dxa" w:w="1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M-0</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Reflection Engine</w:t>
            </w:r>
          </w:p>
        </w:tc>
        <w:tc>
          <w:tcPr>
            <w:tcW w:type="dxa" w:w="5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runReflection(), nodos tipo 'insight', CRON 4 AM CST</w:t>
            </w:r>
          </w:p>
        </w:tc>
      </w:tr>
      <w:tr>
        <w:tc>
          <w:tcPr>
            <w:tcW w:type="dxa" w:w="1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M-1</w:t>
            </w:r>
          </w:p>
        </w:tc>
        <w:tc>
          <w:tcPr>
            <w:tcW w:type="dxa" w:w="24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PDF Library</w:t>
            </w:r>
          </w:p>
        </w:tc>
        <w:tc>
          <w:tcPr>
            <w:tcW w:type="dxa" w:w="59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processPdf(), BibliotecaDoc, /nexo/biblioteca, pdf-parse + Groq</w:t>
            </w:r>
          </w:p>
        </w:tc>
      </w:tr>
      <w:tr>
        <w:tc>
          <w:tcPr>
            <w:tcW w:type="dxa" w:w="1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M-2</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Attention Engine</w:t>
            </w:r>
          </w:p>
        </w:tc>
        <w:tc>
          <w:tcPr>
            <w:tcW w:type="dxa" w:w="5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attendNexoNodes(), reinforceCount, waitUntil(), badge 🔁</w:t>
            </w:r>
          </w:p>
        </w:tc>
      </w:tr>
      <w:tr>
        <w:tc>
          <w:tcPr>
            <w:tcW w:type="dxa" w:w="1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M-3</w:t>
            </w:r>
          </w:p>
        </w:tc>
        <w:tc>
          <w:tcPr>
            <w:tcW w:type="dxa" w:w="24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Cognitive Profile</w:t>
            </w:r>
          </w:p>
        </w:tc>
        <w:tc>
          <w:tcPr>
            <w:tcW w:type="dxa" w:w="59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CognitiveProfile schema, detección rule-based de señales cognitivas</w:t>
            </w:r>
          </w:p>
        </w:tc>
      </w:tr>
      <w:tr>
        <w:tc>
          <w:tcPr>
            <w:tcW w:type="dxa" w:w="1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M-4</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Semantic Retrieval</w:t>
            </w:r>
          </w:p>
        </w:tc>
        <w:tc>
          <w:tcPr>
            <w:tcW w:type="dxa" w:w="5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embedding en NexoNode, hybridScore(), getSemanticNexoContext()</w:t>
            </w:r>
          </w:p>
        </w:tc>
      </w:tr>
      <w:tr>
        <w:tc>
          <w:tcPr>
            <w:tcW w:type="dxa" w:w="1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M-4B</w:t>
            </w:r>
          </w:p>
        </w:tc>
        <w:tc>
          <w:tcPr>
            <w:tcW w:type="dxa" w:w="24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Backfill Embeddings</w:t>
            </w:r>
          </w:p>
        </w:tc>
        <w:tc>
          <w:tcPr>
            <w:tcW w:type="dxa" w:w="59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script backfill-embeddings.mjs para nodos pre-M-4</w:t>
            </w:r>
          </w:p>
        </w:tc>
      </w:tr>
    </w:tbl>
    <w:p>
      <w:r>
        <w:br w:type="page"/>
      </w:r>
    </w:p>
    <w:p>
      <w:pPr>
        <w:pStyle w:val="Heading1"/>
        <w:spacing w:after="160" w:before="360"/>
      </w:pPr>
      <w:r>
        <w:rPr>
          <w:rFonts w:ascii="Calibri" w:cs="Calibri" w:eastAsia="Calibri" w:hAnsi="Calibri"/>
          <w:b/>
          <w:bCs/>
          <w:color w:val="0F172A"/>
          <w:sz w:val="48"/>
          <w:szCs w:val="48"/>
        </w:rPr>
        <w:t xml:space="preserve">15. Diseño Cognitivo — Principios Teóricos</w:t>
      </w:r>
    </w:p>
    <w:p>
      <w:pPr>
        <w:spacing w:after="80" w:before="80" w:line="320"/>
      </w:pPr>
      <w:r>
        <w:rPr>
          <w:rFonts w:ascii="Calibri" w:cs="Calibri" w:eastAsia="Calibri" w:hAnsi="Calibri"/>
          <w:color w:val="0F172A"/>
          <w:sz w:val="22"/>
          <w:szCs w:val="22"/>
        </w:rPr>
        <w:t xml:space="preserve">N.E.X.O. está fundamentado en principios de neurociencia cognitiva y teoría de memoria. No es una implementación ad-hoc, sino una transposición deliberada de mecanismos cognitivos conocidos a un sistema computacional.</w:t>
      </w:r>
    </w:p>
    <w:p/>
    <w:p>
      <w:pPr>
        <w:pStyle w:val="Heading2"/>
        <w:spacing w:after="120" w:before="280"/>
      </w:pPr>
      <w:r>
        <w:rPr>
          <w:rFonts w:ascii="Calibri" w:cs="Calibri" w:eastAsia="Calibri" w:hAnsi="Calibri"/>
          <w:b/>
          <w:bCs/>
          <w:color w:val="1E1B4B"/>
          <w:sz w:val="36"/>
          <w:szCs w:val="36"/>
        </w:rPr>
        <w:t xml:space="preserve">15.1 Curva de Ebbinghaus — Olvido Adaptativo</w:t>
      </w:r>
    </w:p>
    <w:p>
      <w:pPr>
        <w:spacing w:after="80" w:before="80" w:line="320"/>
      </w:pPr>
      <w:r>
        <w:rPr>
          <w:rFonts w:ascii="Calibri" w:cs="Calibri" w:eastAsia="Calibri" w:hAnsi="Calibri"/>
          <w:color w:val="0F172A"/>
          <w:sz w:val="22"/>
          <w:szCs w:val="22"/>
        </w:rPr>
        <w:t xml:space="preserve">El Decay Engine implementa la curva de olvido de Ebbinghaus: sin repetición, el conocimiento decae exponencialmente. La innovación de N.E.X.O. es que la 'repetición' no es explícita (el usuario no hace flashcards) sino implícita: cada vez que SOFIAA referencia un nodo en conversación, el Attention Engine reinicia el reloj del decay, simulando una repetición espaciada automática y pasiva.</w:t>
      </w:r>
    </w:p>
    <w:p/>
    <w:p>
      <w:pPr>
        <w:pStyle w:val="Heading2"/>
        <w:spacing w:after="120" w:before="280"/>
      </w:pPr>
      <w:r>
        <w:rPr>
          <w:rFonts w:ascii="Calibri" w:cs="Calibri" w:eastAsia="Calibri" w:hAnsi="Calibri"/>
          <w:b/>
          <w:bCs/>
          <w:color w:val="1E1B4B"/>
          <w:sz w:val="36"/>
          <w:szCs w:val="36"/>
        </w:rPr>
        <w:t xml:space="preserve">15.2 Consolidación Selectiva — Importancia vs. Frecuencia</w:t>
      </w:r>
    </w:p>
    <w:p>
      <w:pPr>
        <w:spacing w:after="80" w:before="80" w:line="320"/>
      </w:pPr>
      <w:r>
        <w:rPr>
          <w:rFonts w:ascii="Calibri" w:cs="Calibri" w:eastAsia="Calibri" w:hAnsi="Calibri"/>
          <w:color w:val="0F172A"/>
          <w:sz w:val="22"/>
          <w:szCs w:val="22"/>
        </w:rPr>
        <w:t xml:space="preserve">El sistema distingue entre importancia (importanceScore, asignada en ingesta por el LLM) y frecuencia de uso (reinforceCount, acumulada por el Attention Engine). Ambas dimensiones son independientes: un nodo importante pero nunca usado decae si no es reforzado; un nodo frecuentemente usado pero poco importante puede decaer más lento gracias al Attention Engine. El hybridScore combina estas dos dimensiones con el peso temporal actual.</w:t>
      </w:r>
    </w:p>
    <w:p/>
    <w:p>
      <w:pPr>
        <w:pStyle w:val="Heading2"/>
        <w:spacing w:after="120" w:before="280"/>
      </w:pPr>
      <w:r>
        <w:rPr>
          <w:rFonts w:ascii="Calibri" w:cs="Calibri" w:eastAsia="Calibri" w:hAnsi="Calibri"/>
          <w:b/>
          <w:bCs/>
          <w:color w:val="1E1B4B"/>
          <w:sz w:val="36"/>
          <w:szCs w:val="36"/>
        </w:rPr>
        <w:t xml:space="preserve">15.3 Metacognición — El Reflection Engine</w:t>
      </w:r>
    </w:p>
    <w:p>
      <w:pPr>
        <w:spacing w:after="80" w:before="80" w:line="320"/>
      </w:pPr>
      <w:r>
        <w:rPr>
          <w:rFonts w:ascii="Calibri" w:cs="Calibri" w:eastAsia="Calibri" w:hAnsi="Calibri"/>
          <w:color w:val="0F172A"/>
          <w:sz w:val="22"/>
          <w:szCs w:val="22"/>
        </w:rPr>
        <w:t xml:space="preserve">La reflexión cognitiva es el mecanismo de metacognición del sistema: analizar los propios patrones de pensamiento. El Reflection Engine no captura nuevo conocimiento del mundo, sino que genera insights sobre el propio grafo del usuario, creando un segundo orden de conocimiento (conocimiento sobre el conocimiento). Los insights se almacenan como nodos 'insight' con mayor peso y menor decaimiento, reflejando que el conocimiento sintetizado es más valioso que la materia prima.</w:t>
      </w:r>
    </w:p>
    <w:p/>
    <w:p>
      <w:pPr>
        <w:pStyle w:val="Heading2"/>
        <w:spacing w:after="120" w:before="280"/>
      </w:pPr>
      <w:r>
        <w:rPr>
          <w:rFonts w:ascii="Calibri" w:cs="Calibri" w:eastAsia="Calibri" w:hAnsi="Calibri"/>
          <w:b/>
          <w:bCs/>
          <w:color w:val="1E1B4B"/>
          <w:sz w:val="36"/>
          <w:szCs w:val="36"/>
        </w:rPr>
        <w:t xml:space="preserve">15.4 Memoria Episódica y Semántica</w:t>
      </w:r>
    </w:p>
    <w:p>
      <w:pPr>
        <w:spacing w:after="80" w:before="80" w:line="320"/>
      </w:pPr>
      <w:r>
        <w:rPr>
          <w:rFonts w:ascii="Calibri" w:cs="Calibri" w:eastAsia="Calibri" w:hAnsi="Calibri"/>
          <w:color w:val="0F172A"/>
          <w:sz w:val="22"/>
          <w:szCs w:val="22"/>
        </w:rPr>
        <w:t xml:space="preserve">El sistema distingue implícitamente entre memoria episódica (capturas con URL, tiempo y contexto específico) y memoria semántica (insights y Brand DNA sin URL específica). Las capturas web tienen URL y capturedAt como contexto episódico; los insights y nodos PROMETEO/TEC Bii son semánticos: su valor está en el concepto, no en cuándo o dónde se capturaron.</w:t>
      </w:r>
    </w:p>
    <w:p>
      <w:r>
        <w:br w:type="page"/>
      </w:r>
    </w:p>
    <w:p>
      <w:pPr>
        <w:pStyle w:val="Heading1"/>
        <w:spacing w:after="160" w:before="360"/>
      </w:pPr>
      <w:r>
        <w:rPr>
          <w:rFonts w:ascii="Calibri" w:cs="Calibri" w:eastAsia="Calibri" w:hAnsi="Calibri"/>
          <w:b/>
          <w:bCs/>
          <w:color w:val="0F172A"/>
          <w:sz w:val="48"/>
          <w:szCs w:val="48"/>
        </w:rPr>
        <w:t xml:space="preserve">16. Modelo de Datos Completo — Paths Firestore</w:t>
      </w:r>
    </w:p>
    <w:tbl>
      <w:tblPr>
        <w:tblW w:type="dxa" w:w="9360"/>
        <w:tblBorders>
          <w:top w:val="single" w:color="C7D2FE" w:sz="1"/>
          <w:left w:val="single" w:color="C7D2FE" w:sz="1"/>
          <w:bottom w:val="single" w:color="C7D2FE" w:sz="1"/>
          <w:right w:val="single" w:color="C7D2FE" w:sz="1"/>
          <w:insideH w:val="single" w:color="auto" w:sz="4"/>
          <w:insideV w:val="single" w:color="auto" w:sz="4"/>
        </w:tblBorders>
      </w:tblPr>
      <w:tblGrid>
        <w:gridCol w:w="100"/>
        <w:gridCol w:w="100"/>
        <w:gridCol w:w="100"/>
      </w:tblGrid>
      <w:tr>
        <w:trPr>
          <w:tblHeader/>
        </w:trPr>
        <w:tc>
          <w:tcPr>
            <w:tcW w:type="dxa" w:w="32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Path Firestore</w:t>
            </w:r>
          </w:p>
        </w:tc>
        <w:tc>
          <w:tcPr>
            <w:tcW w:type="dxa" w:w="22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Tipo de Dato</w:t>
            </w:r>
          </w:p>
        </w:tc>
        <w:tc>
          <w:tcPr>
            <w:tcW w:type="dxa" w:w="396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Acceso Principal</w:t>
            </w:r>
          </w:p>
        </w:tc>
      </w:tr>
      <w:tr>
        <w:tc>
          <w:tcPr>
            <w:tcW w:type="dxa" w:w="3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users/{uid}/nexo_nodes/{nodeId}</w:t>
            </w:r>
          </w:p>
        </w:tc>
        <w:tc>
          <w:tcPr>
            <w:tcW w:type="dxa" w:w="2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NexoNode (schema completo)</w:t>
            </w:r>
          </w:p>
        </w:tc>
        <w:tc>
          <w:tcPr>
            <w:tcW w:type="dxa" w:w="3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Server-side: getAdminDb()</w:t>
            </w:r>
          </w:p>
        </w:tc>
      </w:tr>
      <w:tr>
        <w:tc>
          <w:tcPr>
            <w:tcW w:type="dxa" w:w="32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users/{uid}/nexo_events/{eventId}</w:t>
            </w:r>
          </w:p>
        </w:tc>
        <w:tc>
          <w:tcPr>
            <w:tcW w:type="dxa" w:w="22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NexoEvent (audit trail)</w:t>
            </w:r>
          </w:p>
        </w:tc>
        <w:tc>
          <w:tcPr>
            <w:tcW w:type="dxa" w:w="39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Server-side: logNexoEvent()</w:t>
            </w:r>
          </w:p>
        </w:tc>
      </w:tr>
      <w:tr>
        <w:tc>
          <w:tcPr>
            <w:tcW w:type="dxa" w:w="3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users/{uid}/biblioteca/{docId}</w:t>
            </w:r>
          </w:p>
        </w:tc>
        <w:tc>
          <w:tcPr>
            <w:tcW w:type="dxa" w:w="2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BibliotecaDoc (metadata PDF)</w:t>
            </w:r>
          </w:p>
        </w:tc>
        <w:tc>
          <w:tcPr>
            <w:tcW w:type="dxa" w:w="3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Server-side: processPdf()</w:t>
            </w:r>
          </w:p>
        </w:tc>
      </w:tr>
      <w:tr>
        <w:tc>
          <w:tcPr>
            <w:tcW w:type="dxa" w:w="32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users/{uid}/tec_bii_*/nexoNodeId</w:t>
            </w:r>
          </w:p>
        </w:tc>
        <w:tc>
          <w:tcPr>
            <w:tcW w:type="dxa" w:w="22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string (ref al grafo)</w:t>
            </w:r>
          </w:p>
        </w:tc>
        <w:tc>
          <w:tcPr>
            <w:tcW w:type="dxa" w:w="39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Vínculo entidad→NexoNode</w:t>
            </w:r>
          </w:p>
        </w:tc>
      </w:tr>
      <w:tr>
        <w:tc>
          <w:tcPr>
            <w:tcW w:type="dxa" w:w="3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smm_workspaces/{wsId}/prometeo_*/nexoNodeId</w:t>
            </w:r>
          </w:p>
        </w:tc>
        <w:tc>
          <w:tcPr>
            <w:tcW w:type="dxa" w:w="2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string (ref al grafo)</w:t>
            </w:r>
          </w:p>
        </w:tc>
        <w:tc>
          <w:tcPr>
            <w:tcW w:type="dxa" w:w="3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Vínculo Brand DNA→NexoNode</w:t>
            </w:r>
          </w:p>
        </w:tc>
      </w:tr>
    </w:tbl>
    <w:p/>
    <w:p>
      <w:pPr>
        <w:spacing w:after="80" w:before="80" w:line="320"/>
      </w:pPr>
      <w:r>
        <w:rPr>
          <w:rFonts w:ascii="Calibri" w:cs="Calibri" w:eastAsia="Calibri" w:hAnsi="Calibri"/>
          <w:color w:val="0F172A"/>
          <w:sz w:val="22"/>
          <w:szCs w:val="22"/>
        </w:rPr>
        <w:t xml:space="preserve">El diseño multi-tenant por UID garantiza aislamiento completo entre usuarios. collectionGroup('nexo_nodes') se usa en los CRONs de decay y reflection para descubrir automáticamente todos los UIDs con datos activos sin mantener un índice de usuarios separado. La colección nexo_events es el audit trail del sistema: registra cada captura, refuerzo, decay y eliminación para el panel de telemetría N.O.R.A.</w:t>
      </w:r>
    </w:p>
    <w:p>
      <w:r>
        <w:br w:type="page"/>
      </w:r>
    </w:p>
    <w:p>
      <w:pPr>
        <w:pStyle w:val="Heading1"/>
        <w:spacing w:after="160" w:before="360"/>
      </w:pPr>
      <w:r>
        <w:rPr>
          <w:rFonts w:ascii="Calibri" w:cs="Calibri" w:eastAsia="Calibri" w:hAnsi="Calibri"/>
          <w:b/>
          <w:bCs/>
          <w:color w:val="0F172A"/>
          <w:sz w:val="48"/>
          <w:szCs w:val="48"/>
        </w:rPr>
        <w:t xml:space="preserve">17. API Endpoints de N.E.X.O.</w:t>
      </w:r>
    </w:p>
    <w:tbl>
      <w:tblPr>
        <w:tblW w:type="dxa" w:w="9360"/>
        <w:tblBorders>
          <w:top w:val="single" w:color="C7D2FE" w:sz="1"/>
          <w:left w:val="single" w:color="C7D2FE" w:sz="1"/>
          <w:bottom w:val="single" w:color="C7D2FE" w:sz="1"/>
          <w:right w:val="single" w:color="C7D2FE" w:sz="1"/>
          <w:insideH w:val="single" w:color="auto" w:sz="4"/>
          <w:insideV w:val="single" w:color="auto" w:sz="4"/>
        </w:tblBorders>
      </w:tblPr>
      <w:tblGrid>
        <w:gridCol w:w="100"/>
        <w:gridCol w:w="100"/>
        <w:gridCol w:w="100"/>
        <w:gridCol w:w="100"/>
      </w:tblGrid>
      <w:tr>
        <w:trPr>
          <w:tblHeader/>
        </w:trPr>
        <w:tc>
          <w:tcPr>
            <w:tcW w:type="dxa" w:w="26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Endpoint</w:t>
            </w:r>
          </w:p>
        </w:tc>
        <w:tc>
          <w:tcPr>
            <w:tcW w:type="dxa" w:w="10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Método</w:t>
            </w:r>
          </w:p>
        </w:tc>
        <w:tc>
          <w:tcPr>
            <w:tcW w:type="dxa" w:w="20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Autenticación</w:t>
            </w:r>
          </w:p>
        </w:tc>
        <w:tc>
          <w:tcPr>
            <w:tcW w:type="dxa" w:w="376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Función</w:t>
            </w:r>
          </w:p>
        </w:tc>
      </w:tr>
      <w:tr>
        <w:tc>
          <w:tcPr>
            <w:tcW w:type="dxa" w:w="2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POST /api/nexo/ingest</w:t>
            </w:r>
          </w:p>
        </w:tc>
        <w:tc>
          <w:tcPr>
            <w:tcW w:type="dxa" w:w="1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POST</w:t>
            </w:r>
          </w:p>
        </w:tc>
        <w:tc>
          <w:tcPr>
            <w:tcW w:type="dxa" w:w="2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Firebase ID token</w:t>
            </w:r>
          </w:p>
        </w:tc>
        <w:tc>
          <w:tcPr>
            <w:tcW w:type="dxa" w:w="37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Clasifica + persiste NexoNode desde captura web/screenshot/manual</w:t>
            </w:r>
          </w:p>
        </w:tc>
      </w:tr>
      <w:tr>
        <w:tc>
          <w:tcPr>
            <w:tcW w:type="dxa" w:w="26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GET  /api/nexo/decay</w:t>
            </w:r>
          </w:p>
        </w:tc>
        <w:tc>
          <w:tcPr>
            <w:tcW w:type="dxa" w:w="1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GET</w:t>
            </w:r>
          </w:p>
        </w:tc>
        <w:tc>
          <w:tcPr>
            <w:tcW w:type="dxa" w:w="2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CRON_SECRET Bearer</w:t>
            </w:r>
          </w:p>
        </w:tc>
        <w:tc>
          <w:tcPr>
            <w:tcW w:type="dxa" w:w="37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Aplica decay exponencial a todos los usuarios (CRON 3 AM CST)</w:t>
            </w:r>
          </w:p>
        </w:tc>
      </w:tr>
      <w:tr>
        <w:tc>
          <w:tcPr>
            <w:tcW w:type="dxa" w:w="2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GET  /api/nexo/reflect</w:t>
            </w:r>
          </w:p>
        </w:tc>
        <w:tc>
          <w:tcPr>
            <w:tcW w:type="dxa" w:w="1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GET</w:t>
            </w:r>
          </w:p>
        </w:tc>
        <w:tc>
          <w:tcPr>
            <w:tcW w:type="dxa" w:w="2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CRON_SECRET Bearer</w:t>
            </w:r>
          </w:p>
        </w:tc>
        <w:tc>
          <w:tcPr>
            <w:tcW w:type="dxa" w:w="37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Reflection Engine para todos los usuarios (CRON 4 AM CST)</w:t>
            </w:r>
          </w:p>
        </w:tc>
      </w:tr>
      <w:tr>
        <w:tc>
          <w:tcPr>
            <w:tcW w:type="dxa" w:w="26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POST /api/nexo/reflect</w:t>
            </w:r>
          </w:p>
        </w:tc>
        <w:tc>
          <w:tcPr>
            <w:tcW w:type="dxa" w:w="1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POST</w:t>
            </w:r>
          </w:p>
        </w:tc>
        <w:tc>
          <w:tcPr>
            <w:tcW w:type="dxa" w:w="2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CRON_SECRET Bearer</w:t>
            </w:r>
          </w:p>
        </w:tc>
        <w:tc>
          <w:tcPr>
            <w:tcW w:type="dxa" w:w="37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Reflection manual para uid específico { uid }</w:t>
            </w:r>
          </w:p>
        </w:tc>
      </w:tr>
      <w:tr>
        <w:tc>
          <w:tcPr>
            <w:tcW w:type="dxa" w:w="2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POST /api/nexo/pdf</w:t>
            </w:r>
          </w:p>
        </w:tc>
        <w:tc>
          <w:tcPr>
            <w:tcW w:type="dxa" w:w="1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POST</w:t>
            </w:r>
          </w:p>
        </w:tc>
        <w:tc>
          <w:tcPr>
            <w:tcW w:type="dxa" w:w="2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Firebase ID token</w:t>
            </w:r>
          </w:p>
        </w:tc>
        <w:tc>
          <w:tcPr>
            <w:tcW w:type="dxa" w:w="37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Procesa PDF → múltiples NexoNodes via Groq</w:t>
            </w:r>
          </w:p>
        </w:tc>
      </w:tr>
      <w:tr>
        <w:tc>
          <w:tcPr>
            <w:tcW w:type="dxa" w:w="26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DELETE /api/nexo/pdf</w:t>
            </w:r>
          </w:p>
        </w:tc>
        <w:tc>
          <w:tcPr>
            <w:tcW w:type="dxa" w:w="1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DELETE</w:t>
            </w:r>
          </w:p>
        </w:tc>
        <w:tc>
          <w:tcPr>
            <w:tcW w:type="dxa" w:w="20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Firebase ID token</w:t>
            </w:r>
          </w:p>
        </w:tc>
        <w:tc>
          <w:tcPr>
            <w:tcW w:type="dxa" w:w="37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Elimina BibliotecaDoc + todos sus NexoNodes asociados</w:t>
            </w:r>
          </w:p>
        </w:tc>
      </w:tr>
    </w:tbl>
    <w:p>
      <w:r>
        <w:br w:type="page"/>
      </w:r>
    </w:p>
    <w:p>
      <w:pPr>
        <w:pStyle w:val="Heading1"/>
        <w:spacing w:after="160" w:before="360"/>
      </w:pPr>
      <w:r>
        <w:rPr>
          <w:rFonts w:ascii="Calibri" w:cs="Calibri" w:eastAsia="Calibri" w:hAnsi="Calibri"/>
          <w:b/>
          <w:bCs/>
          <w:color w:val="0F172A"/>
          <w:sz w:val="48"/>
          <w:szCs w:val="48"/>
        </w:rPr>
        <w:t xml:space="preserve">18. Conclusión — La Memoria como Infraestructura Cognitiva</w:t>
      </w:r>
    </w:p>
    <w:p>
      <w:pPr>
        <w:spacing w:after="80" w:before="80" w:line="320"/>
      </w:pPr>
      <w:r>
        <w:rPr>
          <w:rFonts w:ascii="Calibri" w:cs="Calibri" w:eastAsia="Calibri" w:hAnsi="Calibri"/>
          <w:color w:val="0F172A"/>
          <w:sz w:val="22"/>
          <w:szCs w:val="22"/>
        </w:rPr>
        <w:t xml:space="preserve">N.E.X.O. representa un paradigma diferente de 'memoria de IA': en lugar de depender de un historial de conversación o de bases de datos consultadas por keywords, construye un grafo de experiencia que evoluciona con el usuario, aprende de sus patrones y decae donde ya no es relevante. Es la primera capa del stack cognitivo de SOFIAA — sin ella, todas las extensiones (PROMETEO, TEC Bii, ATENA, ALEJANDRÍA) estarían desconectadas del contexto real del usuario.</w:t>
      </w:r>
    </w:p>
    <w:p/>
    <w:p>
      <w:pPr>
        <w:spacing w:after="80" w:before="80" w:line="320"/>
      </w:pPr>
      <w:r>
        <w:rPr>
          <w:rFonts w:ascii="Calibri" w:cs="Calibri" w:eastAsia="Calibri" w:hAnsi="Calibri"/>
          <w:color w:val="0F172A"/>
          <w:sz w:val="22"/>
          <w:szCs w:val="22"/>
        </w:rPr>
        <w:t xml:space="preserve">La arquitectura de siete motores crea un ciclo completo de vida del conocimiento: Ingest captura → Classifier estructura → Persistence almacena → Context Injection conecta con el chat → Attention Engine refuerza → Decay Engine olvida → Reflection Engine sintetiza. Este ciclo es autónomo, opera 24/7 via CRONs, y es transparente: el usuario puede ver, controlar y eliminar cualquier nodo desde el panel Mi Grafo.</w:t>
      </w:r>
    </w:p>
    <w:p/>
    <w:p>
      <w:pPr>
        <w:spacing w:after="80" w:before="80" w:line="320"/>
      </w:pPr>
      <w:r>
        <w:rPr>
          <w:rFonts w:ascii="Calibri" w:cs="Calibri" w:eastAsia="Calibri" w:hAnsi="Calibri"/>
          <w:color w:val="0F172A"/>
          <w:sz w:val="22"/>
          <w:szCs w:val="22"/>
        </w:rPr>
        <w:t xml:space="preserve">El diseño futuro contempla la activación completa del Semantic Retrieval Engine con embeddings reales cuando se integre un proveedor de embeddings compatible (actualmente generateEmbedding() retorna null con fallback a peso puro). La infraestructura de hybridScore() está lista — solo espera el proveedor vectorial. Esto convertiría N.E.X.O. de un sistema de retrieval por peso a un sistema de retrieval semántico completo, cerrando el ciclo de la visión original de Sprint M-4.</w:t>
      </w:r>
    </w:p>
    <w:p/>
    <w:tbl>
      <w:tblPr>
        <w:tblW w:type="dxa" w:w="9360"/>
        <w:tblBorders>
          <w:top w:val="single" w:color="C7D2FE" w:sz="1"/>
          <w:left w:val="single" w:color="C7D2FE" w:sz="1"/>
          <w:bottom w:val="single" w:color="C7D2FE" w:sz="1"/>
          <w:right w:val="single" w:color="C7D2FE" w:sz="1"/>
          <w:insideH w:val="single" w:color="auto" w:sz="4"/>
          <w:insideV w:val="single" w:color="auto" w:sz="4"/>
        </w:tblBorders>
      </w:tblPr>
      <w:tblGrid>
        <w:gridCol w:w="100"/>
        <w:gridCol w:w="100"/>
        <w:gridCol w:w="100"/>
      </w:tblGrid>
      <w:tr>
        <w:trPr>
          <w:tblHeader/>
        </w:trPr>
        <w:tc>
          <w:tcPr>
            <w:tcW w:type="dxa" w:w="28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Capacidad</w:t>
            </w:r>
          </w:p>
        </w:tc>
        <w:tc>
          <w:tcPr>
            <w:tcW w:type="dxa" w:w="140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Estado</w:t>
            </w:r>
          </w:p>
        </w:tc>
        <w:tc>
          <w:tcPr>
            <w:tcW w:type="dxa" w:w="5160"/>
            <w:shd w:fill="1E1B4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Descripción</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Ingesta web (Chrome/PWA)</w:t>
            </w:r>
          </w:p>
        </w:tc>
        <w:tc>
          <w:tcPr>
            <w:tcW w:type="dxa" w:w="1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 Activo</w:t>
            </w:r>
          </w:p>
        </w:tc>
        <w:tc>
          <w:tcPr>
            <w:tcW w:type="dxa" w:w="51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Captura multi-canal con clasificación LLM</w:t>
            </w:r>
          </w:p>
        </w:tc>
      </w:tr>
      <w:tr>
        <w:tc>
          <w:tcPr>
            <w:tcW w:type="dxa" w:w="2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Decay Engine diario</w:t>
            </w:r>
          </w:p>
        </w:tc>
        <w:tc>
          <w:tcPr>
            <w:tcW w:type="dxa" w:w="14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 Activo</w:t>
            </w:r>
          </w:p>
        </w:tc>
        <w:tc>
          <w:tcPr>
            <w:tcW w:type="dxa" w:w="51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Lambda adaptativo por categoría · CRON 3 AM CST</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Context Injection (top-5)</w:t>
            </w:r>
          </w:p>
        </w:tc>
        <w:tc>
          <w:tcPr>
            <w:tcW w:type="dxa" w:w="1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 Activo</w:t>
            </w:r>
          </w:p>
        </w:tc>
        <w:tc>
          <w:tcPr>
            <w:tcW w:type="dxa" w:w="51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Inyección en system prompt de SOFIAA</w:t>
            </w:r>
          </w:p>
        </w:tc>
      </w:tr>
      <w:tr>
        <w:tc>
          <w:tcPr>
            <w:tcW w:type="dxa" w:w="2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Reflection Engine (insights)</w:t>
            </w:r>
          </w:p>
        </w:tc>
        <w:tc>
          <w:tcPr>
            <w:tcW w:type="dxa" w:w="14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 Activo</w:t>
            </w:r>
          </w:p>
        </w:tc>
        <w:tc>
          <w:tcPr>
            <w:tcW w:type="dxa" w:w="51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CRON 4 AM CST · cooldown 20h</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PDF Library</w:t>
            </w:r>
          </w:p>
        </w:tc>
        <w:tc>
          <w:tcPr>
            <w:tcW w:type="dxa" w:w="1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 Activo</w:t>
            </w:r>
          </w:p>
        </w:tc>
        <w:tc>
          <w:tcPr>
            <w:tcW w:type="dxa" w:w="51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pdf-parse + Groq · máx 7 nodos/doc</w:t>
            </w:r>
          </w:p>
        </w:tc>
      </w:tr>
      <w:tr>
        <w:tc>
          <w:tcPr>
            <w:tcW w:type="dxa" w:w="2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Attention Engine</w:t>
            </w:r>
          </w:p>
        </w:tc>
        <w:tc>
          <w:tcPr>
            <w:tcW w:type="dxa" w:w="14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 Activo</w:t>
            </w:r>
          </w:p>
        </w:tc>
        <w:tc>
          <w:tcPr>
            <w:tcW w:type="dxa" w:w="51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waitUntil() · ATTEND_DELTA=0.03</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Proactive Surface</w:t>
            </w:r>
          </w:p>
        </w:tc>
        <w:tc>
          <w:tcPr>
            <w:tcW w:type="dxa" w:w="1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 Activo</w:t>
            </w:r>
          </w:p>
        </w:tc>
        <w:tc>
          <w:tcPr>
            <w:tcW w:type="dxa" w:w="51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score ≥ 0.65 · máx 2 nodos</w:t>
            </w:r>
          </w:p>
        </w:tc>
      </w:tr>
      <w:tr>
        <w:tc>
          <w:tcPr>
            <w:tcW w:type="dxa" w:w="2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Semantic Retrieval (embeddings)</w:t>
            </w:r>
          </w:p>
        </w:tc>
        <w:tc>
          <w:tcPr>
            <w:tcW w:type="dxa" w:w="14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 Parcial</w:t>
            </w:r>
          </w:p>
        </w:tc>
        <w:tc>
          <w:tcPr>
            <w:tcW w:type="dxa" w:w="51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hybridScore() listo · generateEmbedding() retorna null</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TEC Bii / PROMETEO / SMM publishers</w:t>
            </w:r>
          </w:p>
        </w:tc>
        <w:tc>
          <w:tcPr>
            <w:tcW w:type="dxa" w:w="1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 Activo</w:t>
            </w:r>
          </w:p>
        </w:tc>
        <w:tc>
          <w:tcPr>
            <w:tcW w:type="dxa" w:w="51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3 publishers externos publican al grafo N.E.X.O.</w:t>
            </w:r>
          </w:p>
        </w:tc>
      </w:tr>
      <w:tr>
        <w:tc>
          <w:tcPr>
            <w:tcW w:type="dxa" w:w="28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Cross-Domain NEXO↔TEC Bii</w:t>
            </w:r>
          </w:p>
        </w:tc>
        <w:tc>
          <w:tcPr>
            <w:tcW w:type="dxa" w:w="140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 Activo</w:t>
            </w:r>
          </w:p>
        </w:tc>
        <w:tc>
          <w:tcPr>
            <w:tcW w:type="dxa" w:w="5160"/>
            <w:shd w:fill="EEF2FF" w:val="clear"/>
            <w:tcMar>
              <w:top w:type="dxa" w:w="80"/>
              <w:left w:type="dxa" w:w="100"/>
              <w:bottom w:type="dxa" w:w="80"/>
              <w:right w:type="dxa" w:w="100"/>
            </w:tcMar>
            <w:vAlign w:val="center"/>
          </w:tcPr>
          <w:p>
            <w:r>
              <w:rPr>
                <w:rFonts w:ascii="Calibri" w:cs="Calibri" w:eastAsia="Calibri" w:hAnsi="Calibri"/>
                <w:color w:val="0F172A"/>
                <w:sz w:val="18"/>
                <w:szCs w:val="18"/>
              </w:rPr>
              <w:t xml:space="preserve">Cosine similarity ≥0.60 · hipótesis generadas por Groq</w:t>
            </w:r>
          </w:p>
        </w:tc>
      </w:tr>
    </w:tbl>
    <w:p/>
    <w:p/>
    <w:p>
      <w:pPr>
        <w:spacing w:before="480"/>
        <w:jc w:val="center"/>
      </w:pPr>
      <w:r>
        <w:rPr>
          <w:rFonts w:ascii="Calibri" w:cs="Calibri" w:eastAsia="Calibri" w:hAnsi="Calibri"/>
          <w:color w:val="64748B"/>
          <w:sz w:val="20"/>
          <w:szCs w:val="20"/>
        </w:rPr>
        <w:t xml:space="preserve">SOFIAA OS · N.E.X.O. — Nexus Extension de Conocimiento y Operaciones</w:t>
      </w:r>
    </w:p>
    <w:p>
      <w:pPr>
        <w:spacing w:before="40"/>
        <w:jc w:val="center"/>
      </w:pPr>
      <w:r>
        <w:rPr>
          <w:rFonts w:ascii="Calibri" w:cs="Calibri" w:eastAsia="Calibri" w:hAnsi="Calibri"/>
          <w:color w:val="64748B"/>
          <w:sz w:val="20"/>
          <w:szCs w:val="20"/>
        </w:rPr>
        <w:t xml:space="preserve">Experience Graph · Sistema de Memoria Personal · 2026</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2026-07-24T20:40:01.469Z</dcterms:created>
  <dcterms:modified xsi:type="dcterms:W3CDTF">2026-07-24T20:40:01.469Z</dcterms:modified>
</cp:coreProperties>
</file>

<file path=docProps/custom.xml><?xml version="1.0" encoding="utf-8"?>
<Properties xmlns="http://schemas.openxmlformats.org/officeDocument/2006/custom-properties" xmlns:vt="http://schemas.openxmlformats.org/officeDocument/2006/docPropsVTypes"/>
</file>