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Calibri" w:cs="Calibri" w:eastAsia="Calibri" w:hAnsi="Calibri"/>
          <w:b/>
          <w:bCs/>
          <w:color w:val="0D9488"/>
          <w:sz w:val="72"/>
          <w:szCs w:val="72"/>
        </w:rPr>
        <w:t xml:space="preserve">SOFIAA OS</w:t>
      </w:r>
    </w:p>
    <w:p>
      <w:pPr>
        <w:spacing w:before="120"/>
        <w:jc w:val="center"/>
      </w:pPr>
      <w:r>
        <w:rPr>
          <w:rFonts w:ascii="Calibri" w:cs="Calibri" w:eastAsia="Calibri" w:hAnsi="Calibri"/>
          <w:b/>
          <w:bCs/>
          <w:color w:val="0F172A"/>
          <w:sz w:val="44"/>
          <w:szCs w:val="44"/>
        </w:rPr>
        <w:t xml:space="preserve">TEC BII — Inteligencia Cognitiva Operacional</w:t>
      </w:r>
    </w:p>
    <w:p>
      <w:pPr>
        <w:spacing w:before="80"/>
        <w:jc w:val="center"/>
      </w:pPr>
      <w:r>
        <w:rPr>
          <w:rFonts w:ascii="Calibri" w:cs="Calibri" w:eastAsia="Calibri" w:hAnsi="Calibri"/>
          <w:color w:val="64748B"/>
          <w:sz w:val="30"/>
          <w:szCs w:val="30"/>
        </w:rPr>
        <w:t xml:space="preserve">Reporte Doctoral de Arquitectura e Implementación</w:t>
      </w:r>
    </w:p>
    <w:p>
      <w:pPr>
        <w:spacing w:before="60"/>
        <w:jc w:val="center"/>
      </w:pPr>
      <w:r>
        <w:rPr>
          <w:rFonts w:ascii="Calibri" w:cs="Calibri" w:eastAsia="Calibri" w:hAnsi="Calibri"/>
          <w:color w:val="64748B"/>
          <w:sz w:val="24"/>
          <w:szCs w:val="24"/>
        </w:rPr>
        <w:t xml:space="preserve">Sistema de Cognición Distribuida · Tier 4 Intelligence Layer</w:t>
      </w:r>
    </w:p>
    <w:p>
      <w:pPr>
        <w:spacing w:after="600" w:before="0"/>
      </w:pPr>
      <w:r>
        <w:t xml:space="preserve"/>
      </w:r>
    </w:p>
    <w:p>
      <w:pPr>
        <w:jc w:val="center"/>
      </w:pPr>
      <w:r>
        <w:rPr>
          <w:rFonts w:ascii="Calibri" w:cs="Calibri" w:eastAsia="Calibri" w:hAnsi="Calibri"/>
          <w:color w:val="64748B"/>
          <w:sz w:val="22"/>
          <w:szCs w:val="22"/>
        </w:rPr>
        <w:t xml:space="preserve">Área de Producción Audiovisual · TEC de Monterrey Campus Monterrey</w:t>
      </w:r>
    </w:p>
    <w:p>
      <w:pPr>
        <w:spacing w:before="40"/>
        <w:jc w:val="center"/>
      </w:pPr>
      <w:r>
        <w:rPr>
          <w:rFonts w:ascii="Calibri" w:cs="Calibri" w:eastAsia="Calibri" w:hAnsi="Calibri"/>
          <w:color w:val="64748B"/>
          <w:sz w:val="22"/>
          <w:szCs w:val="22"/>
        </w:rPr>
        <w:t xml:space="preserve">Versión 2.0 · Sprints T2-0 → Q-3 · Julio 2026</w:t>
      </w:r>
    </w:p>
    <w:p>
      <w:r>
        <w:br w:type="page"/>
      </w:r>
    </w:p>
    <w:p>
      <w:pPr>
        <w:pStyle w:val="Heading1"/>
        <w:spacing w:after="160" w:before="360"/>
      </w:pPr>
      <w:r>
        <w:rPr>
          <w:rFonts w:ascii="Calibri" w:cs="Calibri" w:eastAsia="Calibri" w:hAnsi="Calibri"/>
          <w:b/>
          <w:bCs/>
          <w:color w:val="0F172A"/>
          <w:sz w:val="48"/>
          <w:szCs w:val="48"/>
        </w:rPr>
        <w:t xml:space="preserve">1. Resumen Ejecutivo</w:t>
      </w:r>
    </w:p>
    <w:p>
      <w:pPr>
        <w:spacing w:after="80" w:before="80" w:line="320"/>
      </w:pPr>
      <w:r>
        <w:rPr>
          <w:rFonts w:ascii="Calibri" w:cs="Calibri" w:eastAsia="Calibri" w:hAnsi="Calibri"/>
          <w:color w:val="0F172A"/>
          <w:sz w:val="22"/>
          <w:szCs w:val="22"/>
        </w:rPr>
        <w:t xml:space="preserve">TEC Bii es el módulo de inteligencia cognitiva operacional de SOFIAA OS, diseñado específicamente para el Área de Producción Audiovisual del Tecnológico de Monterrey Campus Monterrey. No es un sistema de gestión de proyectos convencional: es un motor de cognición distribuida que transforma cada entidad operacional (proyectos, briefs, empleados, proveedores, clientes, evaluaciones) en nodos semánticos del grafo cognitivo N.E.X.O., capaz de generar hipótesis cruzadas, reflexiones sistémicas y alertas predictivas sin intervención humana.</w:t>
      </w:r>
    </w:p>
    <w:p>
      <w:pPr>
        <w:spacing w:after="80" w:before="80" w:line="320"/>
      </w:pPr>
      <w:r>
        <w:rPr>
          <w:rFonts w:ascii="Calibri" w:cs="Calibri" w:eastAsia="Calibri" w:hAnsi="Calibri"/>
          <w:color w:val="0F172A"/>
          <w:sz w:val="22"/>
          <w:szCs w:val="22"/>
        </w:rPr>
        <w:t xml:space="preserve">El sistema opera bajo el principio de Tier 4 Intelligence: toda entidad que entra al sistema es publicada automáticamente al grafo, recibe un perfil cognitivo (importancia, riesgo, hipótesis), y se conecta semánticamente con las capturas de conocimiento del usuario en NEXO. Esto permite al motor razonar sobre patrones emergentes que ningún dashboard estático podría detectar.</w:t>
      </w:r>
    </w:p>
    <w:p>
      <w:pPr>
        <w:spacing w:after="80" w:before="80" w:line="320"/>
      </w:pPr>
      <w:r>
        <w:rPr>
          <w:rFonts w:ascii="Calibri" w:cs="Calibri" w:eastAsia="Calibri" w:hAnsi="Calibri"/>
          <w:color w:val="0F172A"/>
          <w:sz w:val="22"/>
          <w:szCs w:val="22"/>
        </w:rPr>
        <w:t xml:space="preserve">TEC Bii integra cuatro motores autónomos: Cognitive Publisher (ingesta de entidades al grafo), Cross-Domain Reasoning Engine (conexión semántica NEXO↔TEC Bii), N.O.R.A. Reflection Engine (reflexión operacional periódica), y el Refinement CRON (orquestación batch diaria). Todos corren en servidor, son idempotentes y tolerantes a fallos.</w:t>
      </w:r>
    </w:p>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6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Módulo</w:t>
            </w:r>
          </w:p>
        </w:tc>
        <w:tc>
          <w:tcPr>
            <w:tcW w:type="dxa" w:w="32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Propósito</w:t>
            </w:r>
          </w:p>
        </w:tc>
        <w:tc>
          <w:tcPr>
            <w:tcW w:type="dxa" w:w="35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Tecnología Core</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Cognitive Publisher</w:t>
            </w:r>
          </w:p>
        </w:tc>
        <w:tc>
          <w:tcPr>
            <w:tcW w:type="dxa" w:w="3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Entidades TEC Bii → grafo NEXO</w:t>
            </w:r>
          </w:p>
        </w:tc>
        <w:tc>
          <w:tcPr>
            <w:tcW w:type="dxa" w:w="3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Groq + Gemini Embeddings</w:t>
            </w:r>
          </w:p>
        </w:tc>
      </w:tr>
      <w:tr>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Cross-Domain Engine</w:t>
            </w:r>
          </w:p>
        </w:tc>
        <w:tc>
          <w:tcPr>
            <w:tcW w:type="dxa" w:w="3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Detectar pares semánticos NEXO↔TEC Bii</w:t>
            </w:r>
          </w:p>
        </w:tc>
        <w:tc>
          <w:tcPr>
            <w:tcW w:type="dxa" w:w="3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Cosine Similarity + Groq</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N.O.R.A. Reflection</w:t>
            </w:r>
          </w:p>
        </w:tc>
        <w:tc>
          <w:tcPr>
            <w:tcW w:type="dxa" w:w="3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Reflexión operacional periódica</w:t>
            </w:r>
          </w:p>
        </w:tc>
        <w:tc>
          <w:tcPr>
            <w:tcW w:type="dxa" w:w="3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Groq LLM (JSON mode)</w:t>
            </w:r>
          </w:p>
        </w:tc>
      </w:tr>
      <w:tr>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Refinement CRON</w:t>
            </w:r>
          </w:p>
        </w:tc>
        <w:tc>
          <w:tcPr>
            <w:tcW w:type="dxa" w:w="3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Orquestación batch diaria</w:t>
            </w:r>
          </w:p>
        </w:tc>
        <w:tc>
          <w:tcPr>
            <w:tcW w:type="dxa" w:w="3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Firestore Admin + Sequential</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Insights API</w:t>
            </w:r>
          </w:p>
        </w:tc>
        <w:tc>
          <w:tcPr>
            <w:tcW w:type="dxa" w:w="3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Análisis operacional + alertas predictivas</w:t>
            </w:r>
          </w:p>
        </w:tc>
        <w:tc>
          <w:tcPr>
            <w:tcW w:type="dxa" w:w="3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Groq + Rule-based engine</w:t>
            </w:r>
          </w:p>
        </w:tc>
      </w:tr>
      <w:tr>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Brief Gen API</w:t>
            </w:r>
          </w:p>
        </w:tc>
        <w:tc>
          <w:tcPr>
            <w:tcW w:type="dxa" w:w="3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Generar briefs desde lenguaje natural</w:t>
            </w:r>
          </w:p>
        </w:tc>
        <w:tc>
          <w:tcPr>
            <w:tcW w:type="dxa" w:w="3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Groq (JSON mode)</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Risk API</w:t>
            </w:r>
          </w:p>
        </w:tc>
        <w:tc>
          <w:tcPr>
            <w:tcW w:type="dxa" w:w="3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Entidades en riesgo predictivo</w:t>
            </w:r>
          </w:p>
        </w:tc>
        <w:tc>
          <w:tcPr>
            <w:tcW w:type="dxa" w:w="3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Firestore filters in-memory</w:t>
            </w:r>
          </w:p>
        </w:tc>
      </w:tr>
      <w:tr>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Extension Tools (v2)</w:t>
            </w:r>
          </w:p>
        </w:tc>
        <w:tc>
          <w:tcPr>
            <w:tcW w:type="dxa" w:w="3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5 herramientas para el chat SOFIAA</w:t>
            </w:r>
          </w:p>
        </w:tc>
        <w:tc>
          <w:tcPr>
            <w:tcW w:type="dxa" w:w="3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Firestore CRUD</w:t>
            </w:r>
          </w:p>
        </w:tc>
      </w:tr>
    </w:tbl>
    <w:p>
      <w:r>
        <w:br w:type="page"/>
      </w:r>
    </w:p>
    <w:p>
      <w:pPr>
        <w:pStyle w:val="Heading1"/>
        <w:spacing w:after="160" w:before="360"/>
      </w:pPr>
      <w:r>
        <w:rPr>
          <w:rFonts w:ascii="Calibri" w:cs="Calibri" w:eastAsia="Calibri" w:hAnsi="Calibri"/>
          <w:b/>
          <w:bCs/>
          <w:color w:val="0F172A"/>
          <w:sz w:val="48"/>
          <w:szCs w:val="48"/>
        </w:rPr>
        <w:t xml:space="preserve">2. Arquitectura de Datos — Schema Cognitivo</w:t>
      </w:r>
    </w:p>
    <w:p>
      <w:pPr>
        <w:spacing w:after="80" w:before="80" w:line="320"/>
      </w:pPr>
      <w:r>
        <w:rPr>
          <w:rFonts w:ascii="Calibri" w:cs="Calibri" w:eastAsia="Calibri" w:hAnsi="Calibri"/>
          <w:color w:val="0F172A"/>
          <w:sz w:val="22"/>
          <w:szCs w:val="22"/>
        </w:rPr>
        <w:t xml:space="preserve">El corazón del sistema es la interfaz CognitiveFootprint, que extiende a todas las entidades TEC Bii. Esta interfaz fuerza que cada objeto operacional sea también un nodo cognitivo, con capacidad de memoria semántica, razonamiento y propagación de riesgo.</w:t>
      </w:r>
    </w:p>
    <w:p/>
    <w:p>
      <w:pPr>
        <w:pStyle w:val="Heading2"/>
        <w:spacing w:after="120" w:before="280"/>
      </w:pPr>
      <w:r>
        <w:rPr>
          <w:rFonts w:ascii="Calibri" w:cs="Calibri" w:eastAsia="Calibri" w:hAnsi="Calibri"/>
          <w:b/>
          <w:bCs/>
          <w:color w:val="1E3A5F"/>
          <w:sz w:val="36"/>
          <w:szCs w:val="36"/>
        </w:rPr>
        <w:t xml:space="preserve">2.1 Interfaz CognitiveFootprint</w:t>
      </w:r>
    </w:p>
    <w:p>
      <w:pPr>
        <w:spacing w:after="60" w:before="60"/>
        <w:ind w:left="360"/>
      </w:pPr>
      <w:r>
        <w:rPr>
          <w:rFonts w:ascii="Courier New" w:cs="Courier New" w:eastAsia="Courier New" w:hAnsi="Courier New"/>
          <w:color w:val="166534"/>
          <w:sz w:val="18"/>
          <w:szCs w:val="18"/>
        </w:rPr>
        <w:t xml:space="preserve">interface CognitiveFootprint {</w:t>
      </w:r>
    </w:p>
    <w:p>
      <w:pPr>
        <w:spacing w:after="60" w:before="60"/>
        <w:ind w:left="360"/>
      </w:pPr>
      <w:r>
        <w:rPr>
          <w:rFonts w:ascii="Courier New" w:cs="Courier New" w:eastAsia="Courier New" w:hAnsi="Courier New"/>
          <w:color w:val="166534"/>
          <w:sz w:val="18"/>
          <w:szCs w:val="18"/>
        </w:rPr>
        <w:t xml:space="preserve">  nexoNodeId?:       string;           // ID del nodo en N.E.X.O.</w:t>
      </w:r>
    </w:p>
    <w:p>
      <w:pPr>
        <w:spacing w:after="60" w:before="60"/>
        <w:ind w:left="360"/>
      </w:pPr>
      <w:r>
        <w:rPr>
          <w:rFonts w:ascii="Courier New" w:cs="Courier New" w:eastAsia="Courier New" w:hAnsi="Courier New"/>
          <w:color w:val="166534"/>
          <w:sz w:val="18"/>
          <w:szCs w:val="18"/>
        </w:rPr>
        <w:t xml:space="preserve">  importance:        number;           // 0.0–1.0 importancia cognitiva</w:t>
      </w:r>
    </w:p>
    <w:p>
      <w:pPr>
        <w:spacing w:after="60" w:before="60"/>
        <w:ind w:left="360"/>
      </w:pPr>
      <w:r>
        <w:rPr>
          <w:rFonts w:ascii="Courier New" w:cs="Courier New" w:eastAsia="Courier New" w:hAnsi="Courier New"/>
          <w:color w:val="166534"/>
          <w:sz w:val="18"/>
          <w:szCs w:val="18"/>
        </w:rPr>
        <w:t xml:space="preserve">  riskLevel?:        'bajo'|'medio'|'alto'|'crítico';</w:t>
      </w:r>
    </w:p>
    <w:p>
      <w:pPr>
        <w:spacing w:after="60" w:before="60"/>
        <w:ind w:left="360"/>
      </w:pPr>
      <w:r>
        <w:rPr>
          <w:rFonts w:ascii="Courier New" w:cs="Courier New" w:eastAsia="Courier New" w:hAnsi="Courier New"/>
          <w:color w:val="166534"/>
          <w:sz w:val="18"/>
          <w:szCs w:val="18"/>
        </w:rPr>
        <w:t xml:space="preserve">  riskScore?:        number;</w:t>
      </w:r>
    </w:p>
    <w:p>
      <w:pPr>
        <w:spacing w:after="60" w:before="60"/>
        <w:ind w:left="360"/>
      </w:pPr>
      <w:r>
        <w:rPr>
          <w:rFonts w:ascii="Courier New" w:cs="Courier New" w:eastAsia="Courier New" w:hAnsi="Courier New"/>
          <w:color w:val="166534"/>
          <w:sz w:val="18"/>
          <w:szCs w:val="18"/>
        </w:rPr>
        <w:t xml:space="preserve">  tags:              string[];</w:t>
      </w:r>
    </w:p>
    <w:p>
      <w:pPr>
        <w:spacing w:after="60" w:before="60"/>
        <w:ind w:left="360"/>
      </w:pPr>
      <w:r>
        <w:rPr>
          <w:rFonts w:ascii="Courier New" w:cs="Courier New" w:eastAsia="Courier New" w:hAnsi="Courier New"/>
          <w:color w:val="166534"/>
          <w:sz w:val="18"/>
          <w:szCs w:val="18"/>
        </w:rPr>
        <w:t xml:space="preserve">  aiSummary?:        string;           // Resumen generado por Groq</w:t>
      </w:r>
    </w:p>
    <w:p>
      <w:pPr>
        <w:spacing w:after="60" w:before="60"/>
        <w:ind w:left="360"/>
      </w:pPr>
      <w:r>
        <w:rPr>
          <w:rFonts w:ascii="Courier New" w:cs="Courier New" w:eastAsia="Courier New" w:hAnsi="Courier New"/>
          <w:color w:val="166534"/>
          <w:sz w:val="18"/>
          <w:szCs w:val="18"/>
        </w:rPr>
        <w:t xml:space="preserve">  linkedNexoNodes:   string[];         // IDs de capturas relacionadas</w:t>
      </w:r>
    </w:p>
    <w:p>
      <w:pPr>
        <w:spacing w:after="60" w:before="60"/>
        <w:ind w:left="360"/>
      </w:pPr>
      <w:r>
        <w:rPr>
          <w:rFonts w:ascii="Courier New" w:cs="Courier New" w:eastAsia="Courier New" w:hAnsi="Courier New"/>
          <w:color w:val="166534"/>
          <w:sz w:val="18"/>
          <w:szCs w:val="18"/>
        </w:rPr>
        <w:t xml:space="preserve">  hypotheses:        Hypothesis[];     // Hipótesis cruzadas activas</w:t>
      </w:r>
    </w:p>
    <w:p>
      <w:pPr>
        <w:spacing w:after="60" w:before="60"/>
        <w:ind w:left="360"/>
      </w:pPr>
      <w:r>
        <w:rPr>
          <w:rFonts w:ascii="Courier New" w:cs="Courier New" w:eastAsia="Courier New" w:hAnsi="Courier New"/>
          <w:color w:val="166534"/>
          <w:sz w:val="18"/>
          <w:szCs w:val="18"/>
        </w:rPr>
        <w:t xml:space="preserve">  lastCognitiveSync?: number;          // Timestamp último sync</w:t>
      </w:r>
    </w:p>
    <w:p>
      <w:pPr>
        <w:spacing w:after="60" w:before="60"/>
        <w:ind w:left="360"/>
      </w:pPr>
      <w:r>
        <w:rPr>
          <w:rFonts w:ascii="Courier New" w:cs="Courier New" w:eastAsia="Courier New" w:hAnsi="Courier New"/>
          <w:color w:val="166534"/>
          <w:sz w:val="18"/>
          <w:szCs w:val="18"/>
        </w:rPr>
        <w:t xml:space="preserve">}</w:t>
      </w:r>
    </w:p>
    <w:p/>
    <w:p>
      <w:pPr>
        <w:pStyle w:val="Heading2"/>
        <w:spacing w:after="120" w:before="280"/>
      </w:pPr>
      <w:r>
        <w:rPr>
          <w:rFonts w:ascii="Calibri" w:cs="Calibri" w:eastAsia="Calibri" w:hAnsi="Calibri"/>
          <w:b/>
          <w:bCs/>
          <w:color w:val="1E3A5F"/>
          <w:sz w:val="36"/>
          <w:szCs w:val="36"/>
        </w:rPr>
        <w:t xml:space="preserve">2.2 Interfaz Hypothesis</w:t>
      </w:r>
    </w:p>
    <w:p>
      <w:pPr>
        <w:spacing w:after="80" w:before="80" w:line="320"/>
      </w:pPr>
      <w:r>
        <w:rPr>
          <w:rFonts w:ascii="Calibri" w:cs="Calibri" w:eastAsia="Calibri" w:hAnsi="Calibri"/>
          <w:color w:val="0F172A"/>
          <w:sz w:val="22"/>
          <w:szCs w:val="22"/>
        </w:rPr>
        <w:t xml:space="preserve">Cada hipótesis es generada por el Cross-Domain Engine cuando detecta similitud coseno ≥0.60 entre un nodo TEC Bii y una captura NEXO del usuario. Se almacena en el campo hypotheses de la entidad y tiene un límite FIFO de 5 hipótesis máximas por entidad.</w:t>
      </w:r>
    </w:p>
    <w:p>
      <w:pPr>
        <w:spacing w:after="60" w:before="60"/>
        <w:ind w:left="360"/>
      </w:pPr>
      <w:r>
        <w:rPr>
          <w:rFonts w:ascii="Courier New" w:cs="Courier New" w:eastAsia="Courier New" w:hAnsi="Courier New"/>
          <w:color w:val="166534"/>
          <w:sz w:val="18"/>
          <w:szCs w:val="18"/>
        </w:rPr>
        <w:t xml:space="preserve">interface Hypothesis {</w:t>
      </w:r>
    </w:p>
    <w:p>
      <w:pPr>
        <w:spacing w:after="60" w:before="60"/>
        <w:ind w:left="360"/>
      </w:pPr>
      <w:r>
        <w:rPr>
          <w:rFonts w:ascii="Courier New" w:cs="Courier New" w:eastAsia="Courier New" w:hAnsi="Courier New"/>
          <w:color w:val="166534"/>
          <w:sz w:val="18"/>
          <w:szCs w:val="18"/>
        </w:rPr>
        <w:t xml:space="preserve">  id:          string;      // 'xd-{timestamp}-{entityId[-6:]}'</w:t>
      </w:r>
    </w:p>
    <w:p>
      <w:pPr>
        <w:spacing w:after="60" w:before="60"/>
        <w:ind w:left="360"/>
      </w:pPr>
      <w:r>
        <w:rPr>
          <w:rFonts w:ascii="Courier New" w:cs="Courier New" w:eastAsia="Courier New" w:hAnsi="Courier New"/>
          <w:color w:val="166534"/>
          <w:sz w:val="18"/>
          <w:szCs w:val="18"/>
        </w:rPr>
        <w:t xml:space="preserve">  text:        string;      // Hipótesis en lenguaje natural</w:t>
      </w:r>
    </w:p>
    <w:p>
      <w:pPr>
        <w:spacing w:after="60" w:before="60"/>
        <w:ind w:left="360"/>
      </w:pPr>
      <w:r>
        <w:rPr>
          <w:rFonts w:ascii="Courier New" w:cs="Courier New" w:eastAsia="Courier New" w:hAnsi="Courier New"/>
          <w:color w:val="166534"/>
          <w:sz w:val="18"/>
          <w:szCs w:val="18"/>
        </w:rPr>
        <w:t xml:space="preserve">  confidence:  number;      // Promedio de similitudes coseno</w:t>
      </w:r>
    </w:p>
    <w:p>
      <w:pPr>
        <w:spacing w:after="60" w:before="60"/>
        <w:ind w:left="360"/>
      </w:pPr>
      <w:r>
        <w:rPr>
          <w:rFonts w:ascii="Courier New" w:cs="Courier New" w:eastAsia="Courier New" w:hAnsi="Courier New"/>
          <w:color w:val="166534"/>
          <w:sz w:val="18"/>
          <w:szCs w:val="18"/>
        </w:rPr>
        <w:t xml:space="preserve">  sources:     string[];    // [tecBiiNodeId, ...capturedNodeIds]</w:t>
      </w:r>
    </w:p>
    <w:p>
      <w:pPr>
        <w:spacing w:after="60" w:before="60"/>
        <w:ind w:left="360"/>
      </w:pPr>
      <w:r>
        <w:rPr>
          <w:rFonts w:ascii="Courier New" w:cs="Courier New" w:eastAsia="Courier New" w:hAnsi="Courier New"/>
          <w:color w:val="166534"/>
          <w:sz w:val="18"/>
          <w:szCs w:val="18"/>
        </w:rPr>
        <w:t xml:space="preserve">  generatedAt: number;      // Timestamp Unix MS</w:t>
      </w:r>
    </w:p>
    <w:p>
      <w:pPr>
        <w:spacing w:after="60" w:before="60"/>
        <w:ind w:left="360"/>
      </w:pPr>
      <w:r>
        <w:rPr>
          <w:rFonts w:ascii="Courier New" w:cs="Courier New" w:eastAsia="Courier New" w:hAnsi="Courier New"/>
          <w:color w:val="166534"/>
          <w:sz w:val="18"/>
          <w:szCs w:val="18"/>
        </w:rPr>
        <w:t xml:space="preserve">  validatedAt?: number;</w:t>
      </w:r>
    </w:p>
    <w:p>
      <w:pPr>
        <w:spacing w:after="60" w:before="60"/>
        <w:ind w:left="360"/>
      </w:pPr>
      <w:r>
        <w:rPr>
          <w:rFonts w:ascii="Courier New" w:cs="Courier New" w:eastAsia="Courier New" w:hAnsi="Courier New"/>
          <w:color w:val="166534"/>
          <w:sz w:val="18"/>
          <w:szCs w:val="18"/>
        </w:rPr>
        <w:t xml:space="preserve">  validated?:  boolean;</w:t>
      </w:r>
    </w:p>
    <w:p>
      <w:pPr>
        <w:spacing w:after="60" w:before="60"/>
        <w:ind w:left="360"/>
      </w:pPr>
      <w:r>
        <w:rPr>
          <w:rFonts w:ascii="Courier New" w:cs="Courier New" w:eastAsia="Courier New" w:hAnsi="Courier New"/>
          <w:color w:val="166534"/>
          <w:sz w:val="18"/>
          <w:szCs w:val="18"/>
        </w:rPr>
        <w:t xml:space="preserve">  dismissed?:  boolean;</w:t>
      </w:r>
    </w:p>
    <w:p>
      <w:pPr>
        <w:spacing w:after="60" w:before="60"/>
        <w:ind w:left="360"/>
      </w:pPr>
      <w:r>
        <w:rPr>
          <w:rFonts w:ascii="Courier New" w:cs="Courier New" w:eastAsia="Courier New" w:hAnsi="Courier New"/>
          <w:color w:val="166534"/>
          <w:sz w:val="18"/>
          <w:szCs w:val="18"/>
        </w:rPr>
        <w:t xml:space="preserve">}</w:t>
      </w:r>
    </w:p>
    <w:p/>
    <w:p>
      <w:pPr>
        <w:spacing w:after="80" w:before="80" w:line="320"/>
      </w:pPr>
      <w:r>
        <w:rPr>
          <w:rFonts w:ascii="Calibri" w:cs="Calibri" w:eastAsia="Calibri" w:hAnsi="Calibri"/>
          <w:color w:val="0F172A"/>
          <w:sz w:val="22"/>
          <w:szCs w:val="22"/>
        </w:rPr>
        <w:t xml:space="preserve">El campo EMPTY_FOOTPRINT es el valor por defecto para toda entidad recién creada: importance=0.5, tags=[], linkedNexoNodes=[], hypotheses=[]. Garantiza que todas las entidades tengan el schema completo desde el primer momento.</w:t>
      </w:r>
    </w:p>
    <w:p>
      <w:r>
        <w:br w:type="page"/>
      </w:r>
    </w:p>
    <w:p>
      <w:pPr>
        <w:pStyle w:val="Heading1"/>
        <w:spacing w:after="160" w:before="360"/>
      </w:pPr>
      <w:r>
        <w:rPr>
          <w:rFonts w:ascii="Calibri" w:cs="Calibri" w:eastAsia="Calibri" w:hAnsi="Calibri"/>
          <w:b/>
          <w:bCs/>
          <w:color w:val="0F172A"/>
          <w:sz w:val="48"/>
          <w:szCs w:val="48"/>
        </w:rPr>
        <w:t xml:space="preserve">3. Las Seis Entidades V2</w:t>
      </w:r>
    </w:p>
    <w:p>
      <w:pPr>
        <w:spacing w:after="80" w:before="80" w:line="320"/>
      </w:pPr>
      <w:r>
        <w:rPr>
          <w:rFonts w:ascii="Calibri" w:cs="Calibri" w:eastAsia="Calibri" w:hAnsi="Calibri"/>
          <w:color w:val="0F172A"/>
          <w:sz w:val="22"/>
          <w:szCs w:val="22"/>
        </w:rPr>
        <w:t xml:space="preserve">TEC Bii maneja seis tipos de entidades, todas extendiendo CognitiveFootprint. Cada una tiene campos específicos para su dominio, además de los campos cognitivos compartidos. Las rutas Firestore siguen el patrón users/{uid}/tec_bii_{type_plural}.</w:t>
      </w:r>
    </w:p>
    <w:p/>
    <w:p>
      <w:pPr>
        <w:pStyle w:val="Heading2"/>
        <w:spacing w:after="120" w:before="280"/>
      </w:pPr>
      <w:r>
        <w:rPr>
          <w:rFonts w:ascii="Calibri" w:cs="Calibri" w:eastAsia="Calibri" w:hAnsi="Calibri"/>
          <w:b/>
          <w:bCs/>
          <w:color w:val="1E3A5F"/>
          <w:sz w:val="36"/>
          <w:szCs w:val="36"/>
        </w:rPr>
        <w:t xml:space="preserve">3.1 ProyectoV2 — Entidad Central</w:t>
      </w:r>
    </w:p>
    <w:p>
      <w:pPr>
        <w:spacing w:after="80" w:before="80" w:line="320"/>
      </w:pPr>
      <w:r>
        <w:rPr>
          <w:rFonts w:ascii="Calibri" w:cs="Calibri" w:eastAsia="Calibri" w:hAnsi="Calibri"/>
          <w:color w:val="0F172A"/>
          <w:sz w:val="22"/>
          <w:szCs w:val="22"/>
        </w:rPr>
        <w:t xml:space="preserve">El proyecto es la entidad más compleja del sistema. Contiene urgencyScore (calculado dinámicamente), momentum, campos de asignación interna/externa, y propagación de riesgo del asignado. El campo assigneeRisk se activa automáticamente cuando el empleado o proveedor asignado tiene alertaRiesgo=true.</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2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Campo</w:t>
            </w:r>
          </w:p>
        </w:tc>
        <w:tc>
          <w:tcPr>
            <w:tcW w:type="dxa" w:w="18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Tipo</w:t>
            </w:r>
          </w:p>
        </w:tc>
        <w:tc>
          <w:tcPr>
            <w:tcW w:type="dxa" w:w="53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Descripción</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urgencyScore</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Score 0-1 calculado por calcularUrgencia()</w:t>
            </w:r>
          </w:p>
        </w:tc>
      </w:tr>
      <w:tr>
        <w:tc>
          <w:tcPr>
            <w:tcW w:type="dxa" w:w="2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momentum</w:t>
            </w:r>
          </w:p>
        </w:tc>
        <w:tc>
          <w:tcPr>
            <w:tcW w:type="dxa" w:w="1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string</w:t>
            </w:r>
          </w:p>
        </w:tc>
        <w:tc>
          <w:tcPr>
            <w:tcW w:type="dxa" w:w="53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'acelerando'|'estable'|'ralentizando'</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deadlineDays</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Días hasta la fecha límite</w:t>
            </w:r>
          </w:p>
        </w:tc>
      </w:tr>
      <w:tr>
        <w:tc>
          <w:tcPr>
            <w:tcW w:type="dxa" w:w="2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assigneeLoad</w:t>
            </w:r>
          </w:p>
        </w:tc>
        <w:tc>
          <w:tcPr>
            <w:tcW w:type="dxa" w:w="1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3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Carga del asignado 0.0-1.0</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valueScore</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Score de valor relativo del proyecto</w:t>
            </w:r>
          </w:p>
        </w:tc>
      </w:tr>
      <w:tr>
        <w:tc>
          <w:tcPr>
            <w:tcW w:type="dxa" w:w="2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assigneeRisk</w:t>
            </w:r>
          </w:p>
        </w:tc>
        <w:tc>
          <w:tcPr>
            <w:tcW w:type="dxa" w:w="1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boolean?</w:t>
            </w:r>
          </w:p>
        </w:tc>
        <w:tc>
          <w:tcPr>
            <w:tcW w:type="dxa" w:w="53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true si el asignado tiene alertaRiesgo=true</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assigneeCalidad</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Calidad promedio del asignado (propagada)</w:t>
            </w:r>
          </w:p>
        </w:tc>
      </w:tr>
      <w:tr>
        <w:tc>
          <w:tcPr>
            <w:tcW w:type="dxa" w:w="2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assigneeCumplimiento</w:t>
            </w:r>
          </w:p>
        </w:tc>
        <w:tc>
          <w:tcPr>
            <w:tcW w:type="dxa" w:w="1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3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Tasa de cumplimiento del asignado (propagada)</w:t>
            </w:r>
          </w:p>
        </w:tc>
      </w:tr>
    </w:tbl>
    <w:p/>
    <w:p>
      <w:pPr>
        <w:pStyle w:val="Heading2"/>
        <w:spacing w:after="120" w:before="280"/>
      </w:pPr>
      <w:r>
        <w:rPr>
          <w:rFonts w:ascii="Calibri" w:cs="Calibri" w:eastAsia="Calibri" w:hAnsi="Calibri"/>
          <w:b/>
          <w:bCs/>
          <w:color w:val="1E3A5F"/>
          <w:sz w:val="36"/>
          <w:szCs w:val="36"/>
        </w:rPr>
        <w:t xml:space="preserve">3.2 BriefV2 — Canvas de Producción Inteligente</w:t>
      </w:r>
    </w:p>
    <w:p>
      <w:pPr>
        <w:spacing w:after="80" w:before="80" w:line="320"/>
      </w:pPr>
      <w:r>
        <w:rPr>
          <w:rFonts w:ascii="Calibri" w:cs="Calibri" w:eastAsia="Calibri" w:hAnsi="Calibri"/>
          <w:color w:val="0F172A"/>
          <w:sz w:val="22"/>
          <w:szCs w:val="22"/>
        </w:rPr>
        <w:t xml:space="preserve">El brief es el punto de entrada del Área. Puede ser creado manualmente o generado desde lenguaje natural via la API /api/tec-bii/brief-gen. El campo briefScore (0-100) cuantifica la completitud y calidad del brief: cuanto más alto, más fácil es convertirlo en un proyecto exitoso. El campo urgencyScore se calcula como max(0.1, 1 - diasParaDeadline/90), acotado entre 0.1 y 1.0.</w:t>
      </w:r>
    </w:p>
    <w:p>
      <w:pPr>
        <w:spacing w:after="60" w:before="60"/>
        <w:ind w:left="360"/>
      </w:pPr>
      <w:r>
        <w:rPr>
          <w:rFonts w:ascii="Courier New" w:cs="Courier New" w:eastAsia="Courier New" w:hAnsi="Courier New"/>
          <w:color w:val="166534"/>
          <w:sz w:val="18"/>
          <w:szCs w:val="18"/>
        </w:rPr>
        <w:t xml:space="preserve">// 9 tipos de proyecto soportados:</w:t>
      </w:r>
    </w:p>
    <w:p>
      <w:pPr>
        <w:spacing w:after="60" w:before="60"/>
        <w:ind w:left="360"/>
      </w:pPr>
      <w:r>
        <w:rPr>
          <w:rFonts w:ascii="Courier New" w:cs="Courier New" w:eastAsia="Courier New" w:hAnsi="Courier New"/>
          <w:color w:val="166534"/>
          <w:sz w:val="18"/>
          <w:szCs w:val="18"/>
        </w:rPr>
        <w:t xml:space="preserve">type TipoProyecto = 'Spot Publicitario' | 'Cápsula Educativa' | 'Diseño Gráfico'</w:t>
      </w:r>
    </w:p>
    <w:p>
      <w:pPr>
        <w:spacing w:after="60" w:before="60"/>
        <w:ind w:left="360"/>
      </w:pPr>
      <w:r>
        <w:rPr>
          <w:rFonts w:ascii="Courier New" w:cs="Courier New" w:eastAsia="Courier New" w:hAnsi="Courier New"/>
          <w:color w:val="166534"/>
          <w:sz w:val="18"/>
          <w:szCs w:val="18"/>
        </w:rPr>
        <w:t xml:space="preserve">  | 'Evento en Vivo' | 'Fotografía' | 'Motion Graphics'</w:t>
      </w:r>
    </w:p>
    <w:p>
      <w:pPr>
        <w:spacing w:after="60" w:before="60"/>
        <w:ind w:left="360"/>
      </w:pPr>
      <w:r>
        <w:rPr>
          <w:rFonts w:ascii="Courier New" w:cs="Courier New" w:eastAsia="Courier New" w:hAnsi="Courier New"/>
          <w:color w:val="166534"/>
          <w:sz w:val="18"/>
          <w:szCs w:val="18"/>
        </w:rPr>
        <w:t xml:space="preserve">  | 'Podcast / Audio' | 'Reel / Short' | 'Otro';</w:t>
      </w:r>
    </w:p>
    <w:p/>
    <w:p>
      <w:pPr>
        <w:pStyle w:val="Heading2"/>
        <w:spacing w:after="120" w:before="280"/>
      </w:pPr>
      <w:r>
        <w:rPr>
          <w:rFonts w:ascii="Calibri" w:cs="Calibri" w:eastAsia="Calibri" w:hAnsi="Calibri"/>
          <w:b/>
          <w:bCs/>
          <w:color w:val="1E3A5F"/>
          <w:sz w:val="36"/>
          <w:szCs w:val="36"/>
        </w:rPr>
        <w:t xml:space="preserve">3.3 EmpleadoV2 — Perfil Cognitivo de Talento</w:t>
      </w:r>
    </w:p>
    <w:p>
      <w:pPr>
        <w:spacing w:after="80" w:before="80" w:line="320"/>
      </w:pPr>
      <w:r>
        <w:rPr>
          <w:rFonts w:ascii="Calibri" w:cs="Calibri" w:eastAsia="Calibri" w:hAnsi="Calibri"/>
          <w:color w:val="0F172A"/>
          <w:sz w:val="22"/>
          <w:szCs w:val="22"/>
        </w:rPr>
        <w:t xml:space="preserve">Extiende CognitiveFootprint con campos de rendimiento calculados automáticamente por updateEntityStats(). Los campos calidadPromedio, cumplimientoRate y tendenciaCalidad se actualizan cada vez que se registra una evaluación. La alerta de riesgo (alertaRiesgo=true) se activa cuando calidadPromedio&lt;3.0 O cumplimientoRate&lt;0.6. Esta alerta se propaga a todos los proyectos activos asignados al empleado vía el campo assigneeRisk.</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4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Campo Predictivo</w:t>
            </w:r>
          </w:p>
        </w:tc>
        <w:tc>
          <w:tcPr>
            <w:tcW w:type="dxa" w:w="38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Activación</w:t>
            </w:r>
          </w:p>
        </w:tc>
        <w:tc>
          <w:tcPr>
            <w:tcW w:type="dxa" w:w="31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Umbral Crítico</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calidadPromedio</w:t>
            </w:r>
          </w:p>
        </w:tc>
        <w:tc>
          <w:tcPr>
            <w:tcW w:type="dxa" w:w="3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Promedio de MetricasCualitativas (4 dimensiones 1-5)</w:t>
            </w:r>
          </w:p>
        </w:tc>
        <w:tc>
          <w:tcPr>
            <w:tcW w:type="dxa" w:w="3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&lt; 3.0 → alertaRiesgo=true</w:t>
            </w:r>
          </w:p>
        </w:tc>
      </w:tr>
      <w:tr>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cumplimientoRate</w:t>
            </w:r>
          </w:p>
        </w:tc>
        <w:tc>
          <w:tcPr>
            <w:tcW w:type="dxa" w:w="3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Proyectos entregados a tiempo / total evaluados</w:t>
            </w:r>
          </w:p>
        </w:tc>
        <w:tc>
          <w:tcPr>
            <w:tcW w:type="dxa" w:w="31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&lt; 0.6 → alertaRiesgo=true</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tendenciaCalidad</w:t>
            </w:r>
          </w:p>
        </w:tc>
        <w:tc>
          <w:tcPr>
            <w:tcW w:type="dxa" w:w="3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Comparación últimas 3 vs anteriores 3 evaluaciones</w:t>
            </w:r>
          </w:p>
        </w:tc>
        <w:tc>
          <w:tcPr>
            <w:tcW w:type="dxa" w:w="3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'bajando' → patrón en Insights</w:t>
            </w:r>
          </w:p>
        </w:tc>
      </w:tr>
      <w:tr>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alertaRiesgo</w:t>
            </w:r>
          </w:p>
        </w:tc>
        <w:tc>
          <w:tcPr>
            <w:tcW w:type="dxa" w:w="3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OR lógico de calidad y cumplimiento</w:t>
            </w:r>
          </w:p>
        </w:tc>
        <w:tc>
          <w:tcPr>
            <w:tcW w:type="dxa" w:w="31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true → propagación a proyectos</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totalEvaluaciones</w:t>
            </w:r>
          </w:p>
        </w:tc>
        <w:tc>
          <w:tcPr>
            <w:tcW w:type="dxa" w:w="3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Contador de evaluaciones</w:t>
            </w:r>
          </w:p>
        </w:tc>
        <w:tc>
          <w:tcPr>
            <w:tcW w:type="dxa" w:w="3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&lt; 2 → no se activan alertas predictivas</w:t>
            </w:r>
          </w:p>
        </w:tc>
      </w:tr>
    </w:tbl>
    <w:p/>
    <w:p>
      <w:pPr>
        <w:pStyle w:val="Heading2"/>
        <w:spacing w:after="120" w:before="280"/>
      </w:pPr>
      <w:r>
        <w:rPr>
          <w:rFonts w:ascii="Calibri" w:cs="Calibri" w:eastAsia="Calibri" w:hAnsi="Calibri"/>
          <w:b/>
          <w:bCs/>
          <w:color w:val="1E3A5F"/>
          <w:sz w:val="36"/>
          <w:szCs w:val="36"/>
        </w:rPr>
        <w:t xml:space="preserve">3.4 ProveedorV2 — Inteligencia de Proveedor Externo</w:t>
      </w:r>
    </w:p>
    <w:p>
      <w:pPr>
        <w:spacing w:after="80" w:before="80" w:line="320"/>
      </w:pPr>
      <w:r>
        <w:rPr>
          <w:rFonts w:ascii="Calibri" w:cs="Calibri" w:eastAsia="Calibri" w:hAnsi="Calibri"/>
          <w:color w:val="0F172A"/>
          <w:sz w:val="22"/>
          <w:szCs w:val="22"/>
        </w:rPr>
        <w:t xml:space="preserve">Extiende CognitiveFootprint con reliabilityScore, costPrediction (predicción bayesiana de costo: minMXN, maxMXN, confidence, basedOn) y variacionCosto (porcentaje de exceso sobre cotización). El campo alertaRiesgo se activa por los mismos umbrales que empleados. Adicionalmente, variacionCosto&gt;20% genera una alerta de sobrecosto en el motor de insights.</w:t>
      </w:r>
    </w:p>
    <w:p/>
    <w:p>
      <w:pPr>
        <w:pStyle w:val="Heading2"/>
        <w:spacing w:after="120" w:before="280"/>
      </w:pPr>
      <w:r>
        <w:rPr>
          <w:rFonts w:ascii="Calibri" w:cs="Calibri" w:eastAsia="Calibri" w:hAnsi="Calibri"/>
          <w:b/>
          <w:bCs/>
          <w:color w:val="1E3A5F"/>
          <w:sz w:val="36"/>
          <w:szCs w:val="36"/>
        </w:rPr>
        <w:t xml:space="preserve">3.5 EvaluacionV2 — Motor de Calificación Cognitiva</w:t>
      </w:r>
    </w:p>
    <w:p>
      <w:pPr>
        <w:spacing w:after="80" w:before="80" w:line="320"/>
      </w:pPr>
      <w:r>
        <w:rPr>
          <w:rFonts w:ascii="Calibri" w:cs="Calibri" w:eastAsia="Calibri" w:hAnsi="Calibri"/>
          <w:color w:val="0F172A"/>
          <w:sz w:val="22"/>
          <w:szCs w:val="22"/>
        </w:rPr>
        <w:t xml:space="preserve">La evaluación es la fuente de verdad del sistema predictivo. Cada evaluación tiene dos secciones: MetricasCualitativas (calidadGeneral, creatividad, ejecucionTecnica, alineacionBrief, todas 1-5) y secciones de evaluación interna y externa. El helper promedioMetricasV2() calcula el promedio de las 4 métricas cualitativas, que se usa para actualizar calidadPromedio en empleados/proveedores.</w:t>
      </w:r>
    </w:p>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2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Entidad</w:t>
            </w:r>
          </w:p>
        </w:tc>
        <w:tc>
          <w:tcPr>
            <w:tcW w:type="dxa" w:w="30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importanceScore</w:t>
            </w:r>
          </w:p>
        </w:tc>
        <w:tc>
          <w:tcPr>
            <w:tcW w:type="dxa" w:w="41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Colección Firestore</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ProyectoV2</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calcularImportancia() — dinámica</w:t>
            </w:r>
          </w:p>
        </w:tc>
        <w:tc>
          <w:tcPr>
            <w:tcW w:type="dxa" w:w="4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tec_bii_proyectos</w:t>
            </w:r>
          </w:p>
        </w:tc>
      </w:tr>
      <w:tr>
        <w:tc>
          <w:tcPr>
            <w:tcW w:type="dxa" w:w="2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BriefV2</w:t>
            </w:r>
          </w:p>
        </w:tc>
        <w:tc>
          <w:tcPr>
            <w:tcW w:type="dxa" w:w="3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urgencyScore directo</w:t>
            </w:r>
          </w:p>
        </w:tc>
        <w:tc>
          <w:tcPr>
            <w:tcW w:type="dxa" w:w="41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tec_bii_briefs</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EmpleadoV2</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0.55 (fijo)</w:t>
            </w:r>
          </w:p>
        </w:tc>
        <w:tc>
          <w:tcPr>
            <w:tcW w:type="dxa" w:w="4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tec_bii_empleados</w:t>
            </w:r>
          </w:p>
        </w:tc>
      </w:tr>
      <w:tr>
        <w:tc>
          <w:tcPr>
            <w:tcW w:type="dxa" w:w="2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ProveedorV2</w:t>
            </w:r>
          </w:p>
        </w:tc>
        <w:tc>
          <w:tcPr>
            <w:tcW w:type="dxa" w:w="3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0.50 (fijo)</w:t>
            </w:r>
          </w:p>
        </w:tc>
        <w:tc>
          <w:tcPr>
            <w:tcW w:type="dxa" w:w="41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tec_bii_proveedores</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ClienteInternoV2</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0.50 (fijo)</w:t>
            </w:r>
          </w:p>
        </w:tc>
        <w:tc>
          <w:tcPr>
            <w:tcW w:type="dxa" w:w="4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tec_bii_clientes</w:t>
            </w:r>
          </w:p>
        </w:tc>
      </w:tr>
      <w:tr>
        <w:tc>
          <w:tcPr>
            <w:tcW w:type="dxa" w:w="2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EvaluacionV2</w:t>
            </w:r>
          </w:p>
        </w:tc>
        <w:tc>
          <w:tcPr>
            <w:tcW w:type="dxa" w:w="3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0.45 (fijo)</w:t>
            </w:r>
          </w:p>
        </w:tc>
        <w:tc>
          <w:tcPr>
            <w:tcW w:type="dxa" w:w="41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tec_bii_evaluaciones</w:t>
            </w:r>
          </w:p>
        </w:tc>
      </w:tr>
    </w:tbl>
    <w:p>
      <w:r>
        <w:br w:type="page"/>
      </w:r>
    </w:p>
    <w:p>
      <w:pPr>
        <w:pStyle w:val="Heading1"/>
        <w:spacing w:after="160" w:before="360"/>
      </w:pPr>
      <w:r>
        <w:rPr>
          <w:rFonts w:ascii="Calibri" w:cs="Calibri" w:eastAsia="Calibri" w:hAnsi="Calibri"/>
          <w:b/>
          <w:bCs/>
          <w:color w:val="0F172A"/>
          <w:sz w:val="48"/>
          <w:szCs w:val="48"/>
        </w:rPr>
        <w:t xml:space="preserve">4. Motor de Cálculo — Funciones Determinísticas</w:t>
      </w:r>
    </w:p>
    <w:p>
      <w:pPr>
        <w:spacing w:after="80" w:before="80" w:line="320"/>
      </w:pPr>
      <w:r>
        <w:rPr>
          <w:rFonts w:ascii="Calibri" w:cs="Calibri" w:eastAsia="Calibri" w:hAnsi="Calibri"/>
          <w:color w:val="0F172A"/>
          <w:sz w:val="22"/>
          <w:szCs w:val="22"/>
        </w:rPr>
        <w:t xml:space="preserve">El sistema no delega los cálculos de urgencia e importancia al LLM. Son funciones determinísticas en TypeScript que garantizan resultados consistentes y auditables.</w:t>
      </w:r>
    </w:p>
    <w:p/>
    <w:p>
      <w:pPr>
        <w:pStyle w:val="Heading2"/>
        <w:spacing w:after="120" w:before="280"/>
      </w:pPr>
      <w:r>
        <w:rPr>
          <w:rFonts w:ascii="Calibri" w:cs="Calibri" w:eastAsia="Calibri" w:hAnsi="Calibri"/>
          <w:b/>
          <w:bCs/>
          <w:color w:val="1E3A5F"/>
          <w:sz w:val="36"/>
          <w:szCs w:val="36"/>
        </w:rPr>
        <w:t xml:space="preserve">4.1 calcularUrgencia(deadlineDays, assigneeLoad)</w:t>
      </w:r>
    </w:p>
    <w:p>
      <w:pPr>
        <w:spacing w:after="80" w:before="80" w:line="320"/>
      </w:pPr>
      <w:r>
        <w:rPr>
          <w:rFonts w:ascii="Calibri" w:cs="Calibri" w:eastAsia="Calibri" w:hAnsi="Calibri"/>
          <w:color w:val="0F172A"/>
          <w:sz w:val="22"/>
          <w:szCs w:val="22"/>
        </w:rPr>
        <w:t xml:space="preserve">Combina urgencia por deadline (70% del peso) con carga del asignado (30% del peso). Retorna un valor entre 0 y 1 donde 1.0 representa máxima urgencia crítica.</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8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Condición Deadline</w:t>
            </w:r>
          </w:p>
        </w:tc>
        <w:tc>
          <w:tcPr>
            <w:tcW w:type="dxa" w:w="18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deadlineScore</w:t>
            </w:r>
          </w:p>
        </w:tc>
        <w:tc>
          <w:tcPr>
            <w:tcW w:type="dxa" w:w="47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Semántica</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0 días (vencido/hoy)</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1.00</w:t>
            </w:r>
          </w:p>
        </w:tc>
        <w:tc>
          <w:tcPr>
            <w:tcW w:type="dxa" w:w="4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Crítico absoluto</w:t>
            </w:r>
          </w:p>
        </w:tc>
      </w:tr>
      <w:tr>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 3 días</w:t>
            </w:r>
          </w:p>
        </w:tc>
        <w:tc>
          <w:tcPr>
            <w:tcW w:type="dxa" w:w="1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0.95</w:t>
            </w:r>
          </w:p>
        </w:tc>
        <w:tc>
          <w:tcPr>
            <w:tcW w:type="dxa" w:w="47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Urgencia extrema</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7 días</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0.80</w:t>
            </w:r>
          </w:p>
        </w:tc>
        <w:tc>
          <w:tcPr>
            <w:tcW w:type="dxa" w:w="4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Urgente</w:t>
            </w:r>
          </w:p>
        </w:tc>
      </w:tr>
      <w:tr>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 14 días</w:t>
            </w:r>
          </w:p>
        </w:tc>
        <w:tc>
          <w:tcPr>
            <w:tcW w:type="dxa" w:w="1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0.60</w:t>
            </w:r>
          </w:p>
        </w:tc>
        <w:tc>
          <w:tcPr>
            <w:tcW w:type="dxa" w:w="47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Atención requerida</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30 días</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0.35</w:t>
            </w:r>
          </w:p>
        </w:tc>
        <w:tc>
          <w:tcPr>
            <w:tcW w:type="dxa" w:w="4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Monitoreo activo</w:t>
            </w:r>
          </w:p>
        </w:tc>
      </w:tr>
      <w:tr>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&gt; 30 días</w:t>
            </w:r>
          </w:p>
        </w:tc>
        <w:tc>
          <w:tcPr>
            <w:tcW w:type="dxa" w:w="1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0.15</w:t>
            </w:r>
          </w:p>
        </w:tc>
        <w:tc>
          <w:tcPr>
            <w:tcW w:type="dxa" w:w="47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Bajo seguimiento</w:t>
            </w:r>
          </w:p>
        </w:tc>
      </w:tr>
    </w:tbl>
    <w:p/>
    <w:p>
      <w:pPr>
        <w:spacing w:after="60" w:before="60"/>
        <w:ind w:left="360"/>
      </w:pPr>
      <w:r>
        <w:rPr>
          <w:rFonts w:ascii="Courier New" w:cs="Courier New" w:eastAsia="Courier New" w:hAnsi="Courier New"/>
          <w:color w:val="166534"/>
          <w:sz w:val="18"/>
          <w:szCs w:val="18"/>
        </w:rPr>
        <w:t xml:space="preserve">// Fórmula final:</w:t>
      </w:r>
    </w:p>
    <w:p>
      <w:pPr>
        <w:spacing w:after="60" w:before="60"/>
        <w:ind w:left="360"/>
      </w:pPr>
      <w:r>
        <w:rPr>
          <w:rFonts w:ascii="Courier New" w:cs="Courier New" w:eastAsia="Courier New" w:hAnsi="Courier New"/>
          <w:color w:val="166534"/>
          <w:sz w:val="18"/>
          <w:szCs w:val="18"/>
        </w:rPr>
        <w:t xml:space="preserve">urgency = deadlineScore * 0.7 + assigneeLoad * 0.3</w:t>
      </w:r>
    </w:p>
    <w:p/>
    <w:p>
      <w:pPr>
        <w:pStyle w:val="Heading2"/>
        <w:spacing w:after="120" w:before="280"/>
      </w:pPr>
      <w:r>
        <w:rPr>
          <w:rFonts w:ascii="Calibri" w:cs="Calibri" w:eastAsia="Calibri" w:hAnsi="Calibri"/>
          <w:b/>
          <w:bCs/>
          <w:color w:val="1E3A5F"/>
          <w:sz w:val="36"/>
          <w:szCs w:val="36"/>
        </w:rPr>
        <w:t xml:space="preserve">4.2 calcularImportancia(proyecto)</w:t>
      </w:r>
    </w:p>
    <w:p>
      <w:pPr>
        <w:spacing w:after="80" w:before="80" w:line="320"/>
      </w:pPr>
      <w:r>
        <w:rPr>
          <w:rFonts w:ascii="Calibri" w:cs="Calibri" w:eastAsia="Calibri" w:hAnsi="Calibri"/>
          <w:color w:val="0F172A"/>
          <w:sz w:val="22"/>
          <w:szCs w:val="22"/>
        </w:rPr>
        <w:t xml:space="preserve">Combina tres dimensiones del proyecto en un score de importancia cognitiva. Se usa directamente como el campo importance al publicar el proyecto a N.E.X.O.</w:t>
      </w:r>
    </w:p>
    <w:p>
      <w:pPr>
        <w:spacing w:after="60" w:before="60"/>
        <w:ind w:left="360"/>
      </w:pPr>
      <w:r>
        <w:rPr>
          <w:rFonts w:ascii="Courier New" w:cs="Courier New" w:eastAsia="Courier New" w:hAnsi="Courier New"/>
          <w:color w:val="166534"/>
          <w:sz w:val="18"/>
          <w:szCs w:val="18"/>
        </w:rPr>
        <w:t xml:space="preserve">importancia = estadoScore * 0.4 + urgency * 0.4 + valorScore * 0.2</w:t>
      </w:r>
    </w:p>
    <w:p/>
    <w:p>
      <w:pPr>
        <w:spacing w:after="80" w:before="80" w:line="320"/>
      </w:pPr>
      <w:r>
        <w:rPr>
          <w:rFonts w:ascii="Calibri" w:cs="Calibri" w:eastAsia="Calibri" w:hAnsi="Calibri"/>
          <w:color w:val="0F172A"/>
          <w:sz w:val="22"/>
          <w:szCs w:val="22"/>
        </w:rPr>
        <w:t xml:space="preserve">Donde estadoScore es 0.9 para 'En producción', 0.7 para 'En revisión', 0.5 para 'Pendiente', 0.2 para 'Completado'/'Cancelado'. El valorScore normaliza el valor estimado del proyecto (max $500,000 MXN → score 1.0).</w:t>
      </w:r>
    </w:p>
    <w:p/>
    <w:p>
      <w:pPr>
        <w:pStyle w:val="Heading2"/>
        <w:spacing w:after="120" w:before="280"/>
      </w:pPr>
      <w:r>
        <w:rPr>
          <w:rFonts w:ascii="Calibri" w:cs="Calibri" w:eastAsia="Calibri" w:hAnsi="Calibri"/>
          <w:b/>
          <w:bCs/>
          <w:color w:val="1E3A5F"/>
          <w:sz w:val="36"/>
          <w:szCs w:val="36"/>
        </w:rPr>
        <w:t xml:space="preserve">4.3 calcularCostoInterno y calcularRentabilidad</w:t>
      </w:r>
    </w:p>
    <w:p>
      <w:pPr>
        <w:spacing w:after="60" w:before="60"/>
        <w:ind w:left="360"/>
      </w:pPr>
      <w:r>
        <w:rPr>
          <w:rFonts w:ascii="Courier New" w:cs="Courier New" w:eastAsia="Courier New" w:hAnsi="Courier New"/>
          <w:color w:val="166534"/>
          <w:sz w:val="18"/>
          <w:szCs w:val="18"/>
        </w:rPr>
        <w:t xml:space="preserve">costoInterno = horasNormales * tarifaHora + horasExtra * tarifaHora * 1.5</w:t>
      </w:r>
    </w:p>
    <w:p>
      <w:pPr>
        <w:spacing w:after="60" w:before="60"/>
        <w:ind w:left="360"/>
      </w:pPr>
      <w:r>
        <w:rPr>
          <w:rFonts w:ascii="Courier New" w:cs="Courier New" w:eastAsia="Courier New" w:hAnsi="Courier New"/>
          <w:color w:val="166534"/>
          <w:sz w:val="18"/>
          <w:szCs w:val="18"/>
        </w:rPr>
        <w:t xml:space="preserve">rentabilidad = (valorFacturado - costoTotal) / valorFacturado * 100  // %</w:t>
      </w:r>
    </w:p>
    <w:p>
      <w:r>
        <w:br w:type="page"/>
      </w:r>
    </w:p>
    <w:p>
      <w:pPr>
        <w:pStyle w:val="Heading1"/>
        <w:spacing w:after="160" w:before="360"/>
      </w:pPr>
      <w:r>
        <w:rPr>
          <w:rFonts w:ascii="Calibri" w:cs="Calibri" w:eastAsia="Calibri" w:hAnsi="Calibri"/>
          <w:b/>
          <w:bCs/>
          <w:color w:val="0F172A"/>
          <w:sz w:val="48"/>
          <w:szCs w:val="48"/>
        </w:rPr>
        <w:t xml:space="preserve">5. Cognitive Publisher — publishEntityToGraph()</w:t>
      </w:r>
    </w:p>
    <w:p>
      <w:pPr>
        <w:spacing w:after="80" w:before="80" w:line="320"/>
      </w:pPr>
      <w:r>
        <w:rPr>
          <w:rFonts w:ascii="Calibri" w:cs="Calibri" w:eastAsia="Calibri" w:hAnsi="Calibri"/>
          <w:color w:val="0F172A"/>
          <w:sz w:val="22"/>
          <w:szCs w:val="22"/>
        </w:rPr>
        <w:t xml:space="preserve">El Cognitive Publisher es el motor de ingesta al grafo N.E.X.O. Transforma cualquier entidad TEC Bii en un NexoNode semántico con embedding. Es llamado automáticamente cuando se crea o actualiza una entidad, y periódicamente por el Refinement CRON para entidades estancadas (&gt;24h sin sync).</w:t>
      </w:r>
    </w:p>
    <w:p/>
    <w:p>
      <w:pPr>
        <w:pStyle w:val="Heading2"/>
        <w:spacing w:after="120" w:before="280"/>
      </w:pPr>
      <w:r>
        <w:rPr>
          <w:rFonts w:ascii="Calibri" w:cs="Calibri" w:eastAsia="Calibri" w:hAnsi="Calibri"/>
          <w:b/>
          <w:bCs/>
          <w:color w:val="1E3A5F"/>
          <w:sz w:val="36"/>
          <w:szCs w:val="36"/>
        </w:rPr>
        <w:t xml:space="preserve">5.1 Flujo de Publicación</w:t>
      </w:r>
    </w:p>
    <w:p>
      <w:pPr>
        <w:spacing w:after="80" w:before="80" w:line="320"/>
      </w:pPr>
      <w:r>
        <w:rPr>
          <w:rFonts w:ascii="Calibri" w:cs="Calibri" w:eastAsia="Calibri" w:hAnsi="Calibri"/>
          <w:color w:val="0F172A"/>
          <w:sz w:val="22"/>
          <w:szCs w:val="22"/>
        </w:rPr>
        <w:t xml:space="preserve">El flujo completo tiene 5 pasos para cada entidad:</w:t>
      </w:r>
    </w:p>
    <w:p>
      <w:pPr>
        <w:spacing w:after="60" w:before="60"/>
        <w:ind w:left="360"/>
      </w:pPr>
      <w:r>
        <w:rPr>
          <w:rFonts w:ascii="Courier New" w:cs="Courier New" w:eastAsia="Courier New" w:hAnsi="Courier New"/>
          <w:color w:val="166534"/>
          <w:sz w:val="18"/>
          <w:szCs w:val="18"/>
        </w:rPr>
        <w:t xml:space="preserve">1. nodeId = 'tec-bii:{entityType}:{entityId}'</w:t>
      </w:r>
    </w:p>
    <w:p>
      <w:pPr>
        <w:spacing w:after="60" w:before="60"/>
        <w:ind w:left="360"/>
      </w:pPr>
      <w:r>
        <w:rPr>
          <w:rFonts w:ascii="Courier New" w:cs="Courier New" w:eastAsia="Courier New" w:hAnsi="Courier New"/>
          <w:color w:val="166534"/>
          <w:sz w:val="18"/>
          <w:szCs w:val="18"/>
        </w:rPr>
        <w:t xml:space="preserve">2. generateEntitySummary() via callGroq(180 tokens, temp=0.3)</w:t>
      </w:r>
    </w:p>
    <w:p>
      <w:pPr>
        <w:spacing w:after="60" w:before="60"/>
        <w:ind w:left="360"/>
      </w:pPr>
      <w:r>
        <w:rPr>
          <w:rFonts w:ascii="Courier New" w:cs="Courier New" w:eastAsia="Courier New" w:hAnsi="Courier New"/>
          <w:color w:val="166534"/>
          <w:sz w:val="18"/>
          <w:szCs w:val="18"/>
        </w:rPr>
        <w:t xml:space="preserve">   → buildSummaryPrompt() genera prompt específico por tipo de entidad</w:t>
      </w:r>
    </w:p>
    <w:p>
      <w:pPr>
        <w:spacing w:after="60" w:before="60"/>
        <w:ind w:left="360"/>
      </w:pPr>
      <w:r>
        <w:rPr>
          <w:rFonts w:ascii="Courier New" w:cs="Courier New" w:eastAsia="Courier New" w:hAnsi="Courier New"/>
          <w:color w:val="166534"/>
          <w:sz w:val="18"/>
          <w:szCs w:val="18"/>
        </w:rPr>
        <w:t xml:space="preserve">3. generateEmbedding('{title}. {aiSummary}')  // gemini-embedding-001</w:t>
      </w:r>
    </w:p>
    <w:p>
      <w:pPr>
        <w:spacing w:after="60" w:before="60"/>
        <w:ind w:left="360"/>
      </w:pPr>
      <w:r>
        <w:rPr>
          <w:rFonts w:ascii="Courier New" w:cs="Courier New" w:eastAsia="Courier New" w:hAnsi="Courier New"/>
          <w:color w:val="166534"/>
          <w:sz w:val="18"/>
          <w:szCs w:val="18"/>
        </w:rPr>
        <w:t xml:space="preserve">4. upsertNexoNode() → guarda en nexo_nodes/{uid}/{nodeId}</w:t>
      </w:r>
    </w:p>
    <w:p>
      <w:pPr>
        <w:spacing w:after="60" w:before="60"/>
        <w:ind w:left="360"/>
      </w:pPr>
      <w:r>
        <w:rPr>
          <w:rFonts w:ascii="Courier New" w:cs="Courier New" w:eastAsia="Courier New" w:hAnsi="Courier New"/>
          <w:color w:val="166534"/>
          <w:sz w:val="18"/>
          <w:szCs w:val="18"/>
        </w:rPr>
        <w:t xml:space="preserve">5. update doc con nexoNodeId + aiSummary + lastCognitiveSync + tags</w:t>
      </w:r>
    </w:p>
    <w:p/>
    <w:p>
      <w:pPr>
        <w:pStyle w:val="Heading2"/>
        <w:spacing w:after="120" w:before="280"/>
      </w:pPr>
      <w:r>
        <w:rPr>
          <w:rFonts w:ascii="Calibri" w:cs="Calibri" w:eastAsia="Calibri" w:hAnsi="Calibri"/>
          <w:b/>
          <w:bCs/>
          <w:color w:val="1E3A5F"/>
          <w:sz w:val="36"/>
          <w:szCs w:val="36"/>
        </w:rPr>
        <w:t xml:space="preserve">5.2 Parámetros del NexoNode Generado</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0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Parámetro</w:t>
            </w:r>
          </w:p>
        </w:tc>
        <w:tc>
          <w:tcPr>
            <w:tcW w:type="dxa" w:w="28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Valor para TEC Bii</w:t>
            </w:r>
          </w:p>
        </w:tc>
        <w:tc>
          <w:tcPr>
            <w:tcW w:type="dxa" w:w="45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Justificación</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type</w:t>
            </w:r>
          </w:p>
        </w:tc>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'captured'</w:t>
            </w:r>
          </w:p>
        </w:tc>
        <w:tc>
          <w:tcPr>
            <w:tcW w:type="dxa" w:w="4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Entidad operacional interna, no insight externo</w:t>
            </w:r>
          </w:p>
        </w:tc>
      </w:tr>
      <w:tr>
        <w:tc>
          <w:tcPr>
            <w:tcW w:type="dxa" w:w="2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category</w:t>
            </w:r>
          </w:p>
        </w:tc>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'work'</w:t>
            </w:r>
          </w:p>
        </w:tc>
        <w:tc>
          <w:tcPr>
            <w:tcW w:type="dxa" w:w="4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Categoría operacional del área</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source</w:t>
            </w:r>
          </w:p>
        </w:tc>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'tec_bii'</w:t>
            </w:r>
          </w:p>
        </w:tc>
        <w:tc>
          <w:tcPr>
            <w:tcW w:type="dxa" w:w="4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Identificador del motor origen</w:t>
            </w:r>
          </w:p>
        </w:tc>
      </w:tr>
      <w:tr>
        <w:tc>
          <w:tcPr>
            <w:tcW w:type="dxa" w:w="2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decayRate</w:t>
            </w:r>
          </w:p>
        </w:tc>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0.03</w:t>
            </w:r>
          </w:p>
        </w:tc>
        <w:tc>
          <w:tcPr>
            <w:tcW w:type="dxa" w:w="4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Decaimiento lento vs 0.05 web captures (entidades internas son más estables)</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weight</w:t>
            </w:r>
          </w:p>
        </w:tc>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max(NEXO_INITIAL_WEIGHT, importance)</w:t>
            </w:r>
          </w:p>
        </w:tc>
        <w:tc>
          <w:tcPr>
            <w:tcW w:type="dxa" w:w="4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Garantiza visibilidad mínima en el grafo</w:t>
            </w:r>
          </w:p>
        </w:tc>
      </w:tr>
      <w:tr>
        <w:tc>
          <w:tcPr>
            <w:tcW w:type="dxa" w:w="2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importanceScore</w:t>
            </w:r>
          </w:p>
        </w:tc>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Calculada por tipo (ver Tabla 3)</w:t>
            </w:r>
          </w:p>
        </w:tc>
        <w:tc>
          <w:tcPr>
            <w:tcW w:type="dxa" w:w="4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Determina ranking en búsquedas semánticas</w:t>
            </w:r>
          </w:p>
        </w:tc>
      </w:tr>
    </w:tbl>
    <w:p/>
    <w:p>
      <w:pPr>
        <w:pStyle w:val="Heading2"/>
        <w:spacing w:after="120" w:before="280"/>
      </w:pPr>
      <w:r>
        <w:rPr>
          <w:rFonts w:ascii="Calibri" w:cs="Calibri" w:eastAsia="Calibri" w:hAnsi="Calibri"/>
          <w:b/>
          <w:bCs/>
          <w:color w:val="1E3A5F"/>
          <w:sz w:val="36"/>
          <w:szCs w:val="36"/>
        </w:rPr>
        <w:t xml:space="preserve">5.3 buildTags() — Etiquetado Automático</w:t>
      </w:r>
    </w:p>
    <w:p>
      <w:pPr>
        <w:spacing w:after="80" w:before="80" w:line="320"/>
      </w:pPr>
      <w:r>
        <w:rPr>
          <w:rFonts w:ascii="Calibri" w:cs="Calibri" w:eastAsia="Calibri" w:hAnsi="Calibri"/>
          <w:color w:val="0F172A"/>
          <w:sz w:val="22"/>
          <w:szCs w:val="22"/>
        </w:rPr>
        <w:t xml:space="preserve">El sistema de etiquetas construye automáticamente un array de tags basado en el tipo de entidad. Tags universales: entityType, 'tec-bii'. Tags específicos por tipo:</w:t>
      </w:r>
    </w:p>
    <w:p>
      <w:pPr>
        <w:spacing w:after="60" w:before="60"/>
        <w:ind w:left="360"/>
      </w:pPr>
      <w:r>
        <w:rPr>
          <w:rFonts w:ascii="Courier New" w:cs="Courier New" w:eastAsia="Courier New" w:hAnsi="Courier New"/>
          <w:color w:val="166534"/>
          <w:sz w:val="18"/>
          <w:szCs w:val="18"/>
        </w:rPr>
        <w:t xml:space="preserve">proyecto: estado, tipoProyecto, tipoAsignacion, 'urgente' (si urgencyScore&gt;0.7)</w:t>
      </w:r>
    </w:p>
    <w:p>
      <w:pPr>
        <w:spacing w:after="60" w:before="60"/>
        <w:ind w:left="360"/>
      </w:pPr>
      <w:r>
        <w:rPr>
          <w:rFonts w:ascii="Courier New" w:cs="Courier New" w:eastAsia="Courier New" w:hAnsi="Courier New"/>
          <w:color w:val="166534"/>
          <w:sz w:val="18"/>
          <w:szCs w:val="18"/>
        </w:rPr>
        <w:t xml:space="preserve">brief:    estado, tipoProyecto, 'urgente' (si urgencyScore&gt;0.7)</w:t>
      </w:r>
    </w:p>
    <w:p>
      <w:pPr>
        <w:spacing w:after="60" w:before="60"/>
        <w:ind w:left="360"/>
      </w:pPr>
      <w:r>
        <w:rPr>
          <w:rFonts w:ascii="Courier New" w:cs="Courier New" w:eastAsia="Courier New" w:hAnsi="Courier New"/>
          <w:color w:val="166534"/>
          <w:sz w:val="18"/>
          <w:szCs w:val="18"/>
        </w:rPr>
        <w:t xml:space="preserve">empleado: 'empleado', 'equipo', habilidades principales</w:t>
      </w:r>
    </w:p>
    <w:p>
      <w:pPr>
        <w:spacing w:after="60" w:before="60"/>
        <w:ind w:left="360"/>
      </w:pPr>
      <w:r>
        <w:rPr>
          <w:rFonts w:ascii="Courier New" w:cs="Courier New" w:eastAsia="Courier New" w:hAnsi="Courier New"/>
          <w:color w:val="166534"/>
          <w:sz w:val="18"/>
          <w:szCs w:val="18"/>
        </w:rPr>
        <w:t xml:space="preserve">proveedor: 'proveedor', tipoServicio, 'externo'</w:t>
      </w:r>
    </w:p>
    <w:p>
      <w:pPr>
        <w:spacing w:after="60" w:before="60"/>
        <w:ind w:left="360"/>
      </w:pPr>
      <w:r>
        <w:rPr>
          <w:rFonts w:ascii="Courier New" w:cs="Courier New" w:eastAsia="Courier New" w:hAnsi="Courier New"/>
          <w:color w:val="166534"/>
          <w:sz w:val="18"/>
          <w:szCs w:val="18"/>
        </w:rPr>
        <w:t xml:space="preserve">evaluacion: tipoAsignacion, 'evaluacion', 'calidad'</w:t>
      </w:r>
    </w:p>
    <w:p>
      <w:r>
        <w:br w:type="page"/>
      </w:r>
    </w:p>
    <w:p>
      <w:pPr>
        <w:pStyle w:val="Heading1"/>
        <w:spacing w:after="160" w:before="360"/>
      </w:pPr>
      <w:r>
        <w:rPr>
          <w:rFonts w:ascii="Calibri" w:cs="Calibri" w:eastAsia="Calibri" w:hAnsi="Calibri"/>
          <w:b/>
          <w:bCs/>
          <w:color w:val="0F172A"/>
          <w:sz w:val="48"/>
          <w:szCs w:val="48"/>
        </w:rPr>
        <w:t xml:space="preserve">6. Cross-Domain Reasoning Engine (Sprint T2-4)</w:t>
      </w:r>
    </w:p>
    <w:p>
      <w:pPr>
        <w:spacing w:after="80" w:before="80" w:line="320"/>
      </w:pPr>
      <w:r>
        <w:rPr>
          <w:rFonts w:ascii="Calibri" w:cs="Calibri" w:eastAsia="Calibri" w:hAnsi="Calibri"/>
          <w:color w:val="0F172A"/>
          <w:sz w:val="22"/>
          <w:szCs w:val="22"/>
        </w:rPr>
        <w:t xml:space="preserve">El motor de razonamiento cruzado es la capacidad más avanzada de TEC Bii. Conecta automáticamente las capturas del usuario en NEXO (páginas web, documentos, referencias) con las entidades operacionales de TEC Bii mediante similitud coseno entre embeddings. El resultado son hipótesis en lenguaje natural que explican la conexión.</w:t>
      </w:r>
    </w:p>
    <w:p/>
    <w:p>
      <w:pPr>
        <w:pStyle w:val="Heading2"/>
        <w:spacing w:after="120" w:before="280"/>
      </w:pPr>
      <w:r>
        <w:rPr>
          <w:rFonts w:ascii="Calibri" w:cs="Calibri" w:eastAsia="Calibri" w:hAnsi="Calibri"/>
          <w:b/>
          <w:bCs/>
          <w:color w:val="1E3A5F"/>
          <w:sz w:val="36"/>
          <w:szCs w:val="36"/>
        </w:rPr>
        <w:t xml:space="preserve">6.1 Parámetros de Configuración</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8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Parámetro</w:t>
            </w:r>
          </w:p>
        </w:tc>
        <w:tc>
          <w:tcPr>
            <w:tcW w:type="dxa" w:w="16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Valor</w:t>
            </w:r>
          </w:p>
        </w:tc>
        <w:tc>
          <w:tcPr>
            <w:tcW w:type="dxa" w:w="49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Propósito</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CROSS_DOMAIN_THRESHOLD</w:t>
            </w:r>
          </w:p>
        </w:tc>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0.60</w:t>
            </w:r>
          </w:p>
        </w:tc>
        <w:tc>
          <w:tcPr>
            <w:tcW w:type="dxa" w:w="4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Similitud coseno mínima para considerar par relacionado</w:t>
            </w:r>
          </w:p>
        </w:tc>
      </w:tr>
      <w:tr>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MAX_CAPTURED_NODES</w:t>
            </w:r>
          </w:p>
        </w:tc>
        <w:tc>
          <w:tcPr>
            <w:tcW w:type="dxa" w:w="1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30</w:t>
            </w:r>
          </w:p>
        </w:tc>
        <w:tc>
          <w:tcPr>
            <w:tcW w:type="dxa" w:w="49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Máx capturas NEXO a comparar por sesión (control de costo)</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MAX_TEC_BII_NODES</w:t>
            </w:r>
          </w:p>
        </w:tc>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20</w:t>
            </w:r>
          </w:p>
        </w:tc>
        <w:tc>
          <w:tcPr>
            <w:tcW w:type="dxa" w:w="4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Máx entidades TEC Bii a comparar</w:t>
            </w:r>
          </w:p>
        </w:tc>
      </w:tr>
      <w:tr>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MAX_HYPOTHESES_PER_ENTITY</w:t>
            </w:r>
          </w:p>
        </w:tc>
        <w:tc>
          <w:tcPr>
            <w:tcW w:type="dxa" w:w="1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3</w:t>
            </w:r>
          </w:p>
        </w:tc>
        <w:tc>
          <w:tcPr>
            <w:tcW w:type="dxa" w:w="49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Máx capturas relacionadas por entidad (top-3 más similares)</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Límite FIFO hypotheses</w:t>
            </w:r>
          </w:p>
        </w:tc>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5</w:t>
            </w:r>
          </w:p>
        </w:tc>
        <w:tc>
          <w:tcPr>
            <w:tcW w:type="dxa" w:w="4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Máximo de hipótesis activas por entidad (las más nuevas)</w:t>
            </w:r>
          </w:p>
        </w:tc>
      </w:tr>
    </w:tbl>
    <w:p/>
    <w:p>
      <w:pPr>
        <w:pStyle w:val="Heading2"/>
        <w:spacing w:after="120" w:before="280"/>
      </w:pPr>
      <w:r>
        <w:rPr>
          <w:rFonts w:ascii="Calibri" w:cs="Calibri" w:eastAsia="Calibri" w:hAnsi="Calibri"/>
          <w:b/>
          <w:bCs/>
          <w:color w:val="1E3A5F"/>
          <w:sz w:val="36"/>
          <w:szCs w:val="36"/>
        </w:rPr>
        <w:t xml:space="preserve">6.2 Algoritmo de Detección</w:t>
      </w:r>
    </w:p>
    <w:p>
      <w:pPr>
        <w:spacing w:after="80" w:before="80" w:line="320"/>
      </w:pPr>
      <w:r>
        <w:rPr>
          <w:rFonts w:ascii="Calibri" w:cs="Calibri" w:eastAsia="Calibri" w:hAnsi="Calibri"/>
          <w:color w:val="0F172A"/>
          <w:sz w:val="22"/>
          <w:szCs w:val="22"/>
        </w:rPr>
        <w:t xml:space="preserve">El motor separa los nodos NEXO en dos grupos: nodos TEC Bii (source='tec_bii') y nodos capturados (source≠'tec_bii'). Para cada par (tecBiiNode, capturedNode), calcula la similitud coseno entre sus vectores de embedding. Los pares con similitud ≥0.60 se agrupan por entidad TEC Bii, tomando los 3 más similares.</w:t>
      </w:r>
    </w:p>
    <w:p/>
    <w:p>
      <w:pPr>
        <w:pStyle w:val="Heading2"/>
        <w:spacing w:after="120" w:before="280"/>
      </w:pPr>
      <w:r>
        <w:rPr>
          <w:rFonts w:ascii="Calibri" w:cs="Calibri" w:eastAsia="Calibri" w:hAnsi="Calibri"/>
          <w:b/>
          <w:bCs/>
          <w:color w:val="1E3A5F"/>
          <w:sz w:val="36"/>
          <w:szCs w:val="36"/>
        </w:rPr>
        <w:t xml:space="preserve">6.3 Generación de Hipótesis</w:t>
      </w:r>
    </w:p>
    <w:p>
      <w:pPr>
        <w:spacing w:after="80" w:before="80" w:line="320"/>
      </w:pPr>
      <w:r>
        <w:rPr>
          <w:rFonts w:ascii="Calibri" w:cs="Calibri" w:eastAsia="Calibri" w:hAnsi="Calibri"/>
          <w:color w:val="0F172A"/>
          <w:sz w:val="22"/>
          <w:szCs w:val="22"/>
        </w:rPr>
        <w:t xml:space="preserve">Para cada entidad con pares detectados, se llama a Groq con un prompt que incluye el título y resumen de la entidad, y las capturas relacionadas (con su similitud expresada como porcentaje). El modelo genera una hipótesis de 1-2 oraciones que conecta concretamente la entidad con las capturas. Ejemplo de hipótesis generada:</w:t>
      </w:r>
    </w:p>
    <w:p>
      <w:pPr>
        <w:spacing w:after="80" w:before="80" w:line="320"/>
      </w:pPr>
      <w:r>
        <w:rPr>
          <w:rFonts w:ascii="Calibri" w:cs="Calibri" w:eastAsia="Calibri" w:hAnsi="Calibri"/>
          <w:color w:val="0F172A"/>
          <w:sz w:val="22"/>
          <w:szCs w:val="22"/>
        </w:rPr>
        <w:t xml:space="preserve">"El usuario está investigando equipos Sony Alpha probablemente para el proyecto de campaña audiovisual TEC — las capturas sobre especificaciones de cámara tienen 73% de similitud con el brief de producción."</w:t>
      </w:r>
    </w:p>
    <w:p/>
    <w:p>
      <w:pPr>
        <w:pStyle w:val="Heading2"/>
        <w:spacing w:after="120" w:before="280"/>
      </w:pPr>
      <w:r>
        <w:rPr>
          <w:rFonts w:ascii="Calibri" w:cs="Calibri" w:eastAsia="Calibri" w:hAnsi="Calibri"/>
          <w:b/>
          <w:bCs/>
          <w:color w:val="1E3A5F"/>
          <w:sz w:val="36"/>
          <w:szCs w:val="36"/>
        </w:rPr>
        <w:t xml:space="preserve">6.4 Deduplicación y Persistencia</w:t>
      </w:r>
    </w:p>
    <w:p>
      <w:pPr>
        <w:spacing w:after="80" w:before="80" w:line="320"/>
      </w:pPr>
      <w:r>
        <w:rPr>
          <w:rFonts w:ascii="Calibri" w:cs="Calibri" w:eastAsia="Calibri" w:hAnsi="Calibri"/>
          <w:color w:val="0F172A"/>
          <w:sz w:val="22"/>
          <w:szCs w:val="22"/>
        </w:rPr>
        <w:t xml:space="preserve">El motor verifica que no exista ya una hipótesis con los mismos sources[0] antes de insertar. Actualiza el campo linkedNexoNodes de la entidad con los nodeIds de las capturas relacionadas. Retorna un CrossDomainResult con: pairsDetected, hypothesesCreated, entitiesUpdated y el listado completo de hipótesis generadas.</w:t>
      </w:r>
    </w:p>
    <w:p>
      <w:r>
        <w:br w:type="page"/>
      </w:r>
    </w:p>
    <w:p>
      <w:pPr>
        <w:pStyle w:val="Heading1"/>
        <w:spacing w:after="160" w:before="360"/>
      </w:pPr>
      <w:r>
        <w:rPr>
          <w:rFonts w:ascii="Calibri" w:cs="Calibri" w:eastAsia="Calibri" w:hAnsi="Calibri"/>
          <w:b/>
          <w:bCs/>
          <w:color w:val="0F172A"/>
          <w:sz w:val="48"/>
          <w:szCs w:val="48"/>
        </w:rPr>
        <w:t xml:space="preserve">7. N.O.R.A. — Neural Observer &amp; Reasoning Architecture (Sprint T2-6)</w:t>
      </w:r>
    </w:p>
    <w:p>
      <w:pPr>
        <w:spacing w:after="80" w:before="80" w:line="320"/>
      </w:pPr>
      <w:r>
        <w:rPr>
          <w:rFonts w:ascii="Calibri" w:cs="Calibri" w:eastAsia="Calibri" w:hAnsi="Calibri"/>
          <w:color w:val="0F172A"/>
          <w:sz w:val="22"/>
          <w:szCs w:val="22"/>
        </w:rPr>
        <w:t xml:space="preserve">N.O.R.A. es el motor de reflexión cognitiva periódica del Área de Producción Audiovisual. A diferencia del Cross-Domain Engine (que busca conexiones entre conocimiento externo e interno), N.O.R.A. analiza el estado operacional real del área: proyectos, equipo, briefs e hipótesis cruzadas activas, generando una narrativa reflexiva, patrones detectados y una recomendación concreta ejecutable esa semana.</w:t>
      </w:r>
    </w:p>
    <w:p/>
    <w:p>
      <w:pPr>
        <w:pStyle w:val="Heading2"/>
        <w:spacing w:after="120" w:before="280"/>
      </w:pPr>
      <w:r>
        <w:rPr>
          <w:rFonts w:ascii="Calibri" w:cs="Calibri" w:eastAsia="Calibri" w:hAnsi="Calibri"/>
          <w:b/>
          <w:bCs/>
          <w:color w:val="1E3A5F"/>
          <w:sz w:val="36"/>
          <w:szCs w:val="36"/>
        </w:rPr>
        <w:t xml:space="preserve">7.1 Cooldown y Control de Frecuencia</w:t>
      </w:r>
    </w:p>
    <w:p>
      <w:pPr>
        <w:spacing w:after="80" w:before="80" w:line="320"/>
      </w:pPr>
      <w:r>
        <w:rPr>
          <w:rFonts w:ascii="Calibri" w:cs="Calibri" w:eastAsia="Calibri" w:hAnsi="Calibri"/>
          <w:color w:val="0F172A"/>
          <w:sz w:val="22"/>
          <w:szCs w:val="22"/>
        </w:rPr>
        <w:t xml:space="preserve">N.O.R.A. tiene un cooldown interno de 6 horas. Si se solicita una reflexión y la última tiene menos de 6 horas, el motor retorna la reflexión existente con skipped=true y un mensaje indicando cuánto tiempo hace que se generó. El parámetro force=true permite forzar la generación ignorando el cooldown (usado en el panel de Inteligencia UI).</w:t>
      </w:r>
    </w:p>
    <w:p/>
    <w:p>
      <w:pPr>
        <w:pStyle w:val="Heading2"/>
        <w:spacing w:after="120" w:before="280"/>
      </w:pPr>
      <w:r>
        <w:rPr>
          <w:rFonts w:ascii="Calibri" w:cs="Calibri" w:eastAsia="Calibri" w:hAnsi="Calibri"/>
          <w:b/>
          <w:bCs/>
          <w:color w:val="1E3A5F"/>
          <w:sz w:val="36"/>
          <w:szCs w:val="36"/>
        </w:rPr>
        <w:t xml:space="preserve">7.2 Estructura de la Reflexión</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6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Campo</w:t>
            </w:r>
          </w:p>
        </w:tc>
        <w:tc>
          <w:tcPr>
            <w:tcW w:type="dxa" w:w="14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Tipo</w:t>
            </w:r>
          </w:p>
        </w:tc>
        <w:tc>
          <w:tcPr>
            <w:tcW w:type="dxa" w:w="53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Descripción</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narrativa</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string</w:t>
            </w:r>
          </w:p>
        </w:tc>
        <w:tc>
          <w:tcPr>
            <w:tcW w:type="dxa" w:w="5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Párrafo reflexivo de 3-4 oraciones en primera persona como N.O.R.A.</w:t>
            </w:r>
          </w:p>
        </w:tc>
      </w:tr>
      <w:tr>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patrones</w:t>
            </w:r>
          </w:p>
        </w:tc>
        <w:tc>
          <w:tcPr>
            <w:tcW w:type="dxa" w:w="1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NoraPattern[]</w:t>
            </w:r>
          </w:p>
        </w:tc>
        <w:tc>
          <w:tcPr>
            <w:tcW w:type="dxa" w:w="53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Hasta 5 patrones detectados: carga, urgencia, talento, oportunidad, riesgo, tendencia</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recomendacion</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string</w:t>
            </w:r>
          </w:p>
        </w:tc>
        <w:tc>
          <w:tcPr>
            <w:tcW w:type="dxa" w:w="5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Acción concreta ejecutable esta semana</w:t>
            </w:r>
          </w:p>
        </w:tc>
      </w:tr>
      <w:tr>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estadoGeneral</w:t>
            </w:r>
          </w:p>
        </w:tc>
        <w:tc>
          <w:tcPr>
            <w:tcW w:type="dxa" w:w="1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string</w:t>
            </w:r>
          </w:p>
        </w:tc>
        <w:tc>
          <w:tcPr>
            <w:tcW w:type="dxa" w:w="53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crítico | alerta | estable | óptimo</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contexto.proyectosAnalizados</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Proyectos leídos para generar la reflexión</w:t>
            </w:r>
          </w:p>
        </w:tc>
      </w:tr>
      <w:tr>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contexto.empleadosAnalizados</w:t>
            </w:r>
          </w:p>
        </w:tc>
        <w:tc>
          <w:tcPr>
            <w:tcW w:type="dxa" w:w="1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3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Empleados activos analizados</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contexto.briefsAnalizados</w:t>
            </w:r>
          </w:p>
        </w:tc>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3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Briefs recientes considerados</w:t>
            </w:r>
          </w:p>
        </w:tc>
      </w:tr>
      <w:tr>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contexto.hipotesisActivas</w:t>
            </w:r>
          </w:p>
        </w:tc>
        <w:tc>
          <w:tcPr>
            <w:tcW w:type="dxa" w:w="1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number</w:t>
            </w:r>
          </w:p>
        </w:tc>
        <w:tc>
          <w:tcPr>
            <w:tcW w:type="dxa" w:w="53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Total de hipótesis cruzadas en proyectos</w:t>
            </w:r>
          </w:p>
        </w:tc>
      </w:tr>
    </w:tbl>
    <w:p/>
    <w:p>
      <w:pPr>
        <w:pStyle w:val="Heading2"/>
        <w:spacing w:after="120" w:before="280"/>
      </w:pPr>
      <w:r>
        <w:rPr>
          <w:rFonts w:ascii="Calibri" w:cs="Calibri" w:eastAsia="Calibri" w:hAnsi="Calibri"/>
          <w:b/>
          <w:bCs/>
          <w:color w:val="1E3A5F"/>
          <w:sz w:val="36"/>
          <w:szCs w:val="36"/>
        </w:rPr>
        <w:t xml:space="preserve">7.3 Construcción del Contexto</w:t>
      </w:r>
    </w:p>
    <w:p>
      <w:pPr>
        <w:spacing w:after="80" w:before="80" w:line="320"/>
      </w:pPr>
      <w:r>
        <w:rPr>
          <w:rFonts w:ascii="Calibri" w:cs="Calibri" w:eastAsia="Calibri" w:hAnsi="Calibri"/>
          <w:color w:val="0F172A"/>
          <w:sz w:val="22"/>
          <w:szCs w:val="22"/>
        </w:rPr>
        <w:t xml:space="preserve">N.O.R.A. lee en paralelo (Promise.all) los últimos 20 proyectos ordenados por updatedAt, hasta 15 empleados activos (activo=true) y los 15 briefs más recientes. Construye un string de contexto estructurado que incluye: conteo de proyectos por estado, lista de urgentes (urgencyScore≥0.7) con porcentaje y estado, empleados saturados (carga≥85%) y disponibles (carga&lt;35%), briefs pendientes con su briefScore, e hipótesis NEXO activas.</w:t>
      </w:r>
    </w:p>
    <w:p/>
    <w:p>
      <w:pPr>
        <w:pStyle w:val="Heading2"/>
        <w:spacing w:after="120" w:before="280"/>
      </w:pPr>
      <w:r>
        <w:rPr>
          <w:rFonts w:ascii="Calibri" w:cs="Calibri" w:eastAsia="Calibri" w:hAnsi="Calibri"/>
          <w:b/>
          <w:bCs/>
          <w:color w:val="1E3A5F"/>
          <w:sz w:val="36"/>
          <w:szCs w:val="36"/>
        </w:rPr>
        <w:t xml:space="preserve">7.4 Persistencia y Historial</w:t>
      </w:r>
    </w:p>
    <w:p>
      <w:pPr>
        <w:spacing w:after="80" w:before="80" w:line="320"/>
      </w:pPr>
      <w:r>
        <w:rPr>
          <w:rFonts w:ascii="Calibri" w:cs="Calibri" w:eastAsia="Calibri" w:hAnsi="Calibri"/>
          <w:color w:val="0F172A"/>
          <w:sz w:val="22"/>
          <w:szCs w:val="22"/>
        </w:rPr>
        <w:t xml:space="preserve">Cada reflexión se guarda en users/{uid}/tec_bii_reflexiones/{nora-{timestamp}}. La función getNoraReflections() permite leer el historial de las últimas N reflexiones, permitiendo al panel de Inteligencia mostrar la evolución cognitiva del área a lo largo del tiempo.</w:t>
      </w:r>
    </w:p>
    <w:p>
      <w:r>
        <w:br w:type="page"/>
      </w:r>
    </w:p>
    <w:p>
      <w:pPr>
        <w:pStyle w:val="Heading1"/>
        <w:spacing w:after="160" w:before="360"/>
      </w:pPr>
      <w:r>
        <w:rPr>
          <w:rFonts w:ascii="Calibri" w:cs="Calibri" w:eastAsia="Calibri" w:hAnsi="Calibri"/>
          <w:b/>
          <w:bCs/>
          <w:color w:val="0F172A"/>
          <w:sz w:val="48"/>
          <w:szCs w:val="48"/>
        </w:rPr>
        <w:t xml:space="preserve">8. Refinement CRON — Motor de Refinamiento Batch (Sprint M-7)</w:t>
      </w:r>
    </w:p>
    <w:p>
      <w:pPr>
        <w:spacing w:after="80" w:before="80" w:line="320"/>
      </w:pPr>
      <w:r>
        <w:rPr>
          <w:rFonts w:ascii="Calibri" w:cs="Calibri" w:eastAsia="Calibri" w:hAnsi="Calibri"/>
          <w:color w:val="0F172A"/>
          <w:sz w:val="22"/>
          <w:szCs w:val="22"/>
        </w:rPr>
        <w:t xml:space="preserve">El Refinement CRON es el orquestador máster que coordina los tres motores cognitivos de TEC Bii en una única pasada batch. Está diseñado para correr una vez al día y mantener el grafo cognitivo actualizado sin intervención humana. Está registrado en vercel.json y puede activarse manualmente desde el Centro de Mando.</w:t>
      </w:r>
    </w:p>
    <w:p/>
    <w:p>
      <w:pPr>
        <w:pStyle w:val="Heading2"/>
        <w:spacing w:after="120" w:before="280"/>
      </w:pPr>
      <w:r>
        <w:rPr>
          <w:rFonts w:ascii="Calibri" w:cs="Calibri" w:eastAsia="Calibri" w:hAnsi="Calibri"/>
          <w:b/>
          <w:bCs/>
          <w:color w:val="1E3A5F"/>
          <w:sz w:val="36"/>
          <w:szCs w:val="36"/>
        </w:rPr>
        <w:t xml:space="preserve">8.1 Las Tres Operaciones del Refinamiento</w:t>
      </w:r>
    </w:p>
    <w:p>
      <w:pPr>
        <w:spacing w:after="80" w:before="80" w:line="320"/>
      </w:pPr>
      <w:r>
        <w:rPr>
          <w:rFonts w:ascii="Calibri" w:cs="Calibri" w:eastAsia="Calibri" w:hAnsi="Calibri"/>
          <w:color w:val="0F172A"/>
          <w:sz w:val="22"/>
          <w:szCs w:val="22"/>
        </w:rPr>
        <w:t xml:space="preserve">El motor ejecuta tres operaciones secuenciales para cada usuario (no en paralelo, para evitar rate limits de Groq):</w:t>
      </w:r>
    </w:p>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0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Fase</w:t>
            </w:r>
          </w:p>
        </w:tc>
        <w:tc>
          <w:tcPr>
            <w:tcW w:type="dxa" w:w="24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Motor</w:t>
            </w:r>
          </w:p>
        </w:tc>
        <w:tc>
          <w:tcPr>
            <w:tcW w:type="dxa" w:w="49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Condición de Ejecución</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1. Re-publish Stale</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Cognitive Publisher</w:t>
            </w:r>
          </w:p>
        </w:tc>
        <w:tc>
          <w:tcPr>
            <w:tcW w:type="dxa" w:w="4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Entidades con nexoNodeId vacío O lastCognitiveSync &gt; 24h</w:t>
            </w:r>
          </w:p>
        </w:tc>
      </w:tr>
      <w:tr>
        <w:tc>
          <w:tcPr>
            <w:tcW w:type="dxa" w:w="2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2. N.O.R.A. Reflection</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nora-reflection.ts</w:t>
            </w:r>
          </w:p>
        </w:tc>
        <w:tc>
          <w:tcPr>
            <w:tcW w:type="dxa" w:w="49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Respeta cooldown interno de 6h (no fuerza)</w:t>
            </w:r>
          </w:p>
        </w:tc>
      </w:tr>
      <w:tr>
        <w:tc>
          <w:tcPr>
            <w:tcW w:type="dxa" w:w="2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3. Cross-Domain</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cross-domain.ts</w:t>
            </w:r>
          </w:p>
        </w:tc>
        <w:tc>
          <w:tcPr>
            <w:tcW w:type="dxa" w:w="4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Siempre corre — motor tiene anti-duplicado propio</w:t>
            </w:r>
          </w:p>
        </w:tc>
      </w:tr>
    </w:tbl>
    <w:p/>
    <w:p>
      <w:pPr>
        <w:pStyle w:val="Heading2"/>
        <w:spacing w:after="120" w:before="280"/>
      </w:pPr>
      <w:r>
        <w:rPr>
          <w:rFonts w:ascii="Calibri" w:cs="Calibri" w:eastAsia="Calibri" w:hAnsi="Calibri"/>
          <w:b/>
          <w:bCs/>
          <w:color w:val="1E3A5F"/>
          <w:sz w:val="36"/>
          <w:szCs w:val="36"/>
        </w:rPr>
        <w:t xml:space="preserve">8.2 Descubrimiento de Usuarios</w:t>
      </w:r>
    </w:p>
    <w:p>
      <w:pPr>
        <w:spacing w:after="80" w:before="80" w:line="320"/>
      </w:pPr>
      <w:r>
        <w:rPr>
          <w:rFonts w:ascii="Calibri" w:cs="Calibri" w:eastAsia="Calibri" w:hAnsi="Calibri"/>
          <w:color w:val="0F172A"/>
          <w:sz w:val="22"/>
          <w:szCs w:val="22"/>
        </w:rPr>
        <w:t xml:space="preserve">El motor usa collectionGroup queries en Firestore para descubrir automáticamente todos los UIDs que tienen datos en cualquiera de las 6 colecciones TEC Bii (proyectos, briefs, empleados, proveedores, clientes, evaluaciones). El path docs sigue el patrón users/{uid}/tec_bii_{col}/{docId}, del cual se extrae el UID en el segmento [1].</w:t>
      </w:r>
    </w:p>
    <w:p/>
    <w:p>
      <w:pPr>
        <w:pStyle w:val="Heading2"/>
        <w:spacing w:after="120" w:before="280"/>
      </w:pPr>
      <w:r>
        <w:rPr>
          <w:rFonts w:ascii="Calibri" w:cs="Calibri" w:eastAsia="Calibri" w:hAnsi="Calibri"/>
          <w:b/>
          <w:bCs/>
          <w:color w:val="1E3A5F"/>
          <w:sz w:val="36"/>
          <w:szCs w:val="36"/>
        </w:rPr>
        <w:t xml:space="preserve">8.3 Log de Ejecución</w:t>
      </w:r>
    </w:p>
    <w:p>
      <w:pPr>
        <w:spacing w:after="80" w:before="80" w:line="320"/>
      </w:pPr>
      <w:r>
        <w:rPr>
          <w:rFonts w:ascii="Calibri" w:cs="Calibri" w:eastAsia="Calibri" w:hAnsi="Calibri"/>
          <w:color w:val="0F172A"/>
          <w:sz w:val="22"/>
          <w:szCs w:val="22"/>
        </w:rPr>
        <w:t xml:space="preserve">Cada ejecución genera un RefineResult completo que se persiste en tec_bii_refine_logs/{runId}. El resultado incluye, por usuario: entidades republicadas, si N.O.R.A. fue skipped, duración de N.O.R.A., pares cross-domain detectados, hipótesis creadas y duración total. El endpoint GET /api/tec-bii/refine retorna el último log para mostrarlo en el dashboard.</w:t>
      </w:r>
    </w:p>
    <w:p>
      <w:pPr>
        <w:spacing w:after="60" w:before="60"/>
        <w:ind w:left="360"/>
      </w:pPr>
      <w:r>
        <w:rPr>
          <w:rFonts w:ascii="Courier New" w:cs="Courier New" w:eastAsia="Courier New" w:hAnsi="Courier New"/>
          <w:color w:val="166534"/>
          <w:sz w:val="18"/>
          <w:szCs w:val="18"/>
        </w:rPr>
        <w:t xml:space="preserve">// Estructura del resultado de ejecución:</w:t>
      </w:r>
    </w:p>
    <w:p>
      <w:pPr>
        <w:spacing w:after="60" w:before="60"/>
        <w:ind w:left="360"/>
      </w:pPr>
      <w:r>
        <w:rPr>
          <w:rFonts w:ascii="Courier New" w:cs="Courier New" w:eastAsia="Courier New" w:hAnsi="Courier New"/>
          <w:color w:val="166534"/>
          <w:sz w:val="18"/>
          <w:szCs w:val="18"/>
        </w:rPr>
        <w:t xml:space="preserve">RefineResult {</w:t>
      </w:r>
    </w:p>
    <w:p>
      <w:pPr>
        <w:spacing w:after="60" w:before="60"/>
        <w:ind w:left="360"/>
      </w:pPr>
      <w:r>
        <w:rPr>
          <w:rFonts w:ascii="Courier New" w:cs="Courier New" w:eastAsia="Courier New" w:hAnsi="Courier New"/>
          <w:color w:val="166534"/>
          <w:sz w:val="18"/>
          <w:szCs w:val="18"/>
        </w:rPr>
        <w:t xml:space="preserve">  runId, usersProcessed, totalRepublish, totalNora,</w:t>
      </w:r>
    </w:p>
    <w:p>
      <w:pPr>
        <w:spacing w:after="60" w:before="60"/>
        <w:ind w:left="360"/>
      </w:pPr>
      <w:r>
        <w:rPr>
          <w:rFonts w:ascii="Courier New" w:cs="Courier New" w:eastAsia="Courier New" w:hAnsi="Courier New"/>
          <w:color w:val="166534"/>
          <w:sz w:val="18"/>
          <w:szCs w:val="18"/>
        </w:rPr>
        <w:t xml:space="preserve">  totalXdPairs, totalXdHyp, durationMs, runAt, perUser[]</w:t>
      </w:r>
    </w:p>
    <w:p>
      <w:pPr>
        <w:spacing w:after="60" w:before="60"/>
        <w:ind w:left="360"/>
      </w:pPr>
      <w:r>
        <w:rPr>
          <w:rFonts w:ascii="Courier New" w:cs="Courier New" w:eastAsia="Courier New" w:hAnsi="Courier New"/>
          <w:color w:val="166534"/>
          <w:sz w:val="18"/>
          <w:szCs w:val="18"/>
        </w:rPr>
        <w:t xml:space="preserve">}</w:t>
      </w:r>
    </w:p>
    <w:p>
      <w:r>
        <w:br w:type="page"/>
      </w:r>
    </w:p>
    <w:p>
      <w:pPr>
        <w:pStyle w:val="Heading1"/>
        <w:spacing w:after="160" w:before="360"/>
      </w:pPr>
      <w:r>
        <w:rPr>
          <w:rFonts w:ascii="Calibri" w:cs="Calibri" w:eastAsia="Calibri" w:hAnsi="Calibri"/>
          <w:b/>
          <w:bCs/>
          <w:color w:val="0F172A"/>
          <w:sz w:val="48"/>
          <w:szCs w:val="48"/>
        </w:rPr>
        <w:t xml:space="preserve">9. API Endpoints del Sistema</w:t>
      </w:r>
    </w:p>
    <w:p>
      <w:pPr>
        <w:spacing w:after="80" w:before="80" w:line="320"/>
      </w:pPr>
      <w:r>
        <w:rPr>
          <w:rFonts w:ascii="Calibri" w:cs="Calibri" w:eastAsia="Calibri" w:hAnsi="Calibri"/>
          <w:color w:val="0F172A"/>
          <w:sz w:val="22"/>
          <w:szCs w:val="22"/>
        </w:rPr>
        <w:t xml:space="preserve">TEC Bii expone seis endpoints REST en /api/tec-bii/*. Todos requieren autenticación via Firebase ID token (Authorization: Bearer {token}), excepto el endpoint de refinamiento que acepta CRON_SECRET para ejecución programada por Vercel.</w:t>
      </w:r>
    </w:p>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30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Endpoint</w:t>
            </w:r>
          </w:p>
        </w:tc>
        <w:tc>
          <w:tcPr>
            <w:tcW w:type="dxa" w:w="12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Método</w:t>
            </w:r>
          </w:p>
        </w:tc>
        <w:tc>
          <w:tcPr>
            <w:tcW w:type="dxa" w:w="51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Función Principal</w:t>
            </w:r>
          </w:p>
        </w:tc>
      </w:tr>
      <w:tr>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 /api/tec-bii/insights</w:t>
            </w:r>
          </w:p>
        </w:tc>
        <w:tc>
          <w:tcPr>
            <w:tcW w:type="dxa" w:w="1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Análisis operacional Groq + alertas predictivas rule-based</w:t>
            </w:r>
          </w:p>
        </w:tc>
      </w:tr>
      <w:tr>
        <w:tc>
          <w:tcPr>
            <w:tcW w:type="dxa" w:w="3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POST /api/tec-bii/brief-gen</w:t>
            </w:r>
          </w:p>
        </w:tc>
        <w:tc>
          <w:tcPr>
            <w:tcW w:type="dxa" w:w="1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POST</w:t>
            </w:r>
          </w:p>
        </w:tc>
        <w:tc>
          <w:tcPr>
            <w:tcW w:type="dxa" w:w="51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Genera BriefV2 estructurado desde descripción en lenguaje natural</w:t>
            </w:r>
          </w:p>
        </w:tc>
      </w:tr>
      <w:tr>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GET  /api/tec-bii/risk</w:t>
            </w:r>
          </w:p>
        </w:tc>
        <w:tc>
          <w:tcPr>
            <w:tcW w:type="dxa" w:w="1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GET</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Devuelve empleados/proveedores en alertaRiesgo=true + proyectos afectados</w:t>
            </w:r>
          </w:p>
        </w:tc>
      </w:tr>
      <w:tr>
        <w:tc>
          <w:tcPr>
            <w:tcW w:type="dxa" w:w="3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POST /api/tec-bii/cross-domain</w:t>
            </w:r>
          </w:p>
        </w:tc>
        <w:tc>
          <w:tcPr>
            <w:tcW w:type="dxa" w:w="1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POST</w:t>
            </w:r>
          </w:p>
        </w:tc>
        <w:tc>
          <w:tcPr>
            <w:tcW w:type="dxa" w:w="51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Trigger manual del Cross-Domain Engine para el usuario autenticado</w:t>
            </w:r>
          </w:p>
        </w:tc>
      </w:tr>
      <w:tr>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 /api/tec-bii/nora-reflect</w:t>
            </w:r>
          </w:p>
        </w:tc>
        <w:tc>
          <w:tcPr>
            <w:tcW w:type="dxa" w:w="1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Trigger manual de N.O.R.A. (acepta force=true para bypass cooldown)</w:t>
            </w:r>
          </w:p>
        </w:tc>
      </w:tr>
      <w:tr>
        <w:tc>
          <w:tcPr>
            <w:tcW w:type="dxa" w:w="3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GET  /api/tec-bii/refine</w:t>
            </w:r>
          </w:p>
        </w:tc>
        <w:tc>
          <w:tcPr>
            <w:tcW w:type="dxa" w:w="1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GET</w:t>
            </w:r>
          </w:p>
        </w:tc>
        <w:tc>
          <w:tcPr>
            <w:tcW w:type="dxa" w:w="51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Devuelve último RefineLog | Bearer CRON_SECRET para ejecutar batch</w:t>
            </w:r>
          </w:p>
        </w:tc>
      </w:tr>
    </w:tbl>
    <w:p/>
    <w:p>
      <w:pPr>
        <w:pStyle w:val="Heading2"/>
        <w:spacing w:after="120" w:before="280"/>
      </w:pPr>
      <w:r>
        <w:rPr>
          <w:rFonts w:ascii="Calibri" w:cs="Calibri" w:eastAsia="Calibri" w:hAnsi="Calibri"/>
          <w:b/>
          <w:bCs/>
          <w:color w:val="1E3A5F"/>
          <w:sz w:val="36"/>
          <w:szCs w:val="36"/>
        </w:rPr>
        <w:t xml:space="preserve">9.1 POST /api/tec-bii/insights — Motor de Inteligencia Operacional</w:t>
      </w:r>
    </w:p>
    <w:p>
      <w:pPr>
        <w:spacing w:after="80" w:before="80" w:line="320"/>
      </w:pPr>
      <w:r>
        <w:rPr>
          <w:rFonts w:ascii="Calibri" w:cs="Calibri" w:eastAsia="Calibri" w:hAnsi="Calibri"/>
          <w:color w:val="0F172A"/>
          <w:sz w:val="22"/>
          <w:szCs w:val="22"/>
        </w:rPr>
        <w:t xml:space="preserve">Lee proyectos, empleados y proveedores en paralelo (Promise.all). Ejecuta dos fases: primero buildPredictiveInsights() (rule-based, sin LLM) que detecta alertas de calidad (calidadPromedio&lt;3.0), retraso (cumplimientoRate&lt;0.6), tendencia negativa (tendenciaCalidad='bajando' con ≥4 evaluaciones) y sobrecosto (variacionCosto&gt;20%). Luego generateInsightsWithGemini() genera 3-6 insights adicionales con Groq. Los insights predictivos se anteponen (son más específicos).</w:t>
      </w:r>
    </w:p>
    <w:p/>
    <w:p>
      <w:pPr>
        <w:pStyle w:val="Heading2"/>
        <w:spacing w:after="120" w:before="280"/>
      </w:pPr>
      <w:r>
        <w:rPr>
          <w:rFonts w:ascii="Calibri" w:cs="Calibri" w:eastAsia="Calibri" w:hAnsi="Calibri"/>
          <w:b/>
          <w:bCs/>
          <w:color w:val="1E3A5F"/>
          <w:sz w:val="36"/>
          <w:szCs w:val="36"/>
        </w:rPr>
        <w:t xml:space="preserve">9.2 POST /api/tec-bii/brief-gen — Brief Intelligence</w:t>
      </w:r>
    </w:p>
    <w:p>
      <w:pPr>
        <w:spacing w:after="80" w:before="80" w:line="320"/>
      </w:pPr>
      <w:r>
        <w:rPr>
          <w:rFonts w:ascii="Calibri" w:cs="Calibri" w:eastAsia="Calibri" w:hAnsi="Calibri"/>
          <w:color w:val="0F172A"/>
          <w:sz w:val="22"/>
          <w:szCs w:val="22"/>
        </w:rPr>
        <w:t xml:space="preserve">Recibe una descripción en lenguaje natural (máx 2000 chars). Groq infiere: tipo de proyecto (9 tipos disponibles), objetivo, audiencia, plataforma, entregables, requisitos técnicos, referencias, duración en segundos (si aplica), briefScore (0-100) y diasParaDeadline (7-90 días típicos para el TEC). El urgencyScore del brief se calcula como max(0.1, 1 - diasParaDeadline/90). La respuesta pre-llena el formulario de creación de brief en la UI.</w:t>
      </w:r>
    </w:p>
    <w:p/>
    <w:p>
      <w:pPr>
        <w:pStyle w:val="Heading2"/>
        <w:spacing w:after="120" w:before="280"/>
      </w:pPr>
      <w:r>
        <w:rPr>
          <w:rFonts w:ascii="Calibri" w:cs="Calibri" w:eastAsia="Calibri" w:hAnsi="Calibri"/>
          <w:b/>
          <w:bCs/>
          <w:color w:val="1E3A5F"/>
          <w:sz w:val="36"/>
          <w:szCs w:val="36"/>
        </w:rPr>
        <w:t xml:space="preserve">9.3 GET /api/tec-bii/risk — Panel de Riesgo Predictivo</w:t>
      </w:r>
    </w:p>
    <w:p>
      <w:pPr>
        <w:spacing w:after="80" w:before="80" w:line="320"/>
      </w:pPr>
      <w:r>
        <w:rPr>
          <w:rFonts w:ascii="Calibri" w:cs="Calibri" w:eastAsia="Calibri" w:hAnsi="Calibri"/>
          <w:color w:val="0F172A"/>
          <w:sz w:val="22"/>
          <w:szCs w:val="22"/>
        </w:rPr>
        <w:t xml:space="preserve">Lee las tres colecciones en paralelo y filtra en memoria (las colecciones son pequeñas — típicamente &lt;100 documentos por área). Retorna empleadosConRiesgo (alertaRiesgo=true y totalEvaluaciones&gt;0), proveedoresConRiesgo y proyectosActivos con assigneeRisk=true. Enriquece cada proyecto con el nombre del asignado buscando en los arrays ya leídos (sin queries adicionales).</w:t>
      </w:r>
    </w:p>
    <w:p>
      <w:r>
        <w:br w:type="page"/>
      </w:r>
    </w:p>
    <w:p>
      <w:pPr>
        <w:pStyle w:val="Heading1"/>
        <w:spacing w:after="160" w:before="360"/>
      </w:pPr>
      <w:r>
        <w:rPr>
          <w:rFonts w:ascii="Calibri" w:cs="Calibri" w:eastAsia="Calibri" w:hAnsi="Calibri"/>
          <w:b/>
          <w:bCs/>
          <w:color w:val="0F172A"/>
          <w:sz w:val="48"/>
          <w:szCs w:val="48"/>
        </w:rPr>
        <w:t xml:space="preserve">10. Extension Tools V2 — Integración con el Chat SOFIAA</w:t>
      </w:r>
    </w:p>
    <w:p>
      <w:pPr>
        <w:spacing w:after="80" w:before="80" w:line="320"/>
      </w:pPr>
      <w:r>
        <w:rPr>
          <w:rFonts w:ascii="Calibri" w:cs="Calibri" w:eastAsia="Calibri" w:hAnsi="Calibri"/>
          <w:color w:val="0F172A"/>
          <w:sz w:val="22"/>
          <w:szCs w:val="22"/>
        </w:rPr>
        <w:t xml:space="preserve">TEC Bii v2 registra 5 herramientas en el chat de SOFIAA a través del contrato SofiaaExtension. Estas herramientas permiten al asistente consultar y actualizar datos operacionales del Área directamente desde la conversación. La política crítica de la extensión es: NUNCA usar request_capability (la API v1 está deprecada).</w:t>
      </w:r>
    </w:p>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4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Tool</w:t>
            </w:r>
          </w:p>
        </w:tc>
        <w:tc>
          <w:tcPr>
            <w:tcW w:type="dxa" w:w="30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Función</w:t>
            </w:r>
          </w:p>
        </w:tc>
        <w:tc>
          <w:tcPr>
            <w:tcW w:type="dxa" w:w="39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Parámetros Principales</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crear_brief</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Crea un BriefV2 completo en Firestore</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titulo*, tipo*, responsable*, + campos opcionales del brief</w:t>
            </w:r>
          </w:p>
        </w:tc>
      </w:tr>
      <w:tr>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actualizar_proyecto</w:t>
            </w:r>
          </w:p>
        </w:tc>
        <w:tc>
          <w:tcPr>
            <w:tcW w:type="dxa" w:w="3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Actualiza estado/avance/nota de un proyecto</w:t>
            </w:r>
          </w:p>
        </w:tc>
        <w:tc>
          <w:tcPr>
            <w:tcW w:type="dxa" w:w="39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proyectoId*, estado?, avance?, ultimaNota?</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listar_proyectos</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Lista proyectos con urgencia y riesgo</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estado? (filtro opcional)</w:t>
            </w:r>
          </w:p>
        </w:tc>
      </w:tr>
      <w:tr>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consultar_riesgo</w:t>
            </w:r>
          </w:p>
        </w:tc>
        <w:tc>
          <w:tcPr>
            <w:tcW w:type="dxa" w:w="3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Retorna todas las alertas activas del área</w:t>
            </w:r>
          </w:p>
        </w:tc>
        <w:tc>
          <w:tcPr>
            <w:tcW w:type="dxa" w:w="39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(ninguno — usa uid del contexto)</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generar_analisis</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Análisis estadístico: por estado, urgentes, en grafo</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(ninguno — análisis completo)</w:t>
            </w:r>
          </w:p>
        </w:tc>
      </w:tr>
    </w:tbl>
    <w:p/>
    <w:p>
      <w:pPr>
        <w:spacing w:after="80" w:before="80" w:line="320"/>
      </w:pPr>
      <w:r>
        <w:rPr>
          <w:rFonts w:ascii="Calibri" w:cs="Calibri" w:eastAsia="Calibri" w:hAnsi="Calibri"/>
          <w:color w:val="0F172A"/>
          <w:sz w:val="22"/>
          <w:szCs w:val="22"/>
        </w:rPr>
        <w:t xml:space="preserve">La función tbPath(uid, col) construye la ruta Firestore: users/${uid}/tec_bii_${col}. listar_proyectos retorna campos enriquecidos calculados en tiempo real: urgencia (urgencyScore*100 redondeado), riesgo (riskLevel), asigneeRisk y en_grafo (!!nexoNodeId). generar_analisis provee el resumen_numerico por estado, los top 5 proyectos urgentes y las alertas activas de riesgo.</w:t>
      </w:r>
    </w:p>
    <w:p>
      <w:r>
        <w:br w:type="page"/>
      </w:r>
    </w:p>
    <w:p>
      <w:pPr>
        <w:pStyle w:val="Heading1"/>
        <w:spacing w:after="160" w:before="360"/>
      </w:pPr>
      <w:r>
        <w:rPr>
          <w:rFonts w:ascii="Calibri" w:cs="Calibri" w:eastAsia="Calibri" w:hAnsi="Calibri"/>
          <w:b/>
          <w:bCs/>
          <w:color w:val="0F172A"/>
          <w:sz w:val="48"/>
          <w:szCs w:val="48"/>
        </w:rPr>
        <w:t xml:space="preserve">11. Integración Monday.com — Bidireccionalidad Cognitiva (Sprint Q-3)</w:t>
      </w:r>
    </w:p>
    <w:p>
      <w:pPr>
        <w:spacing w:after="80" w:before="80" w:line="320"/>
      </w:pPr>
      <w:r>
        <w:rPr>
          <w:rFonts w:ascii="Calibri" w:cs="Calibri" w:eastAsia="Calibri" w:hAnsi="Calibri"/>
          <w:color w:val="0F172A"/>
          <w:sz w:val="22"/>
          <w:szCs w:val="22"/>
        </w:rPr>
        <w:t xml:space="preserve">La integración con Monday.com opera en modo bidireccional: TEC Bii puede crear tareas en Monday (vía HERMES) y Monday puede actualizar entidades en TEC Bii via webhook. El webhook recibe eventos de cambio de estado en Monday y actualiza el proyecto correspondiente en Firestore, cerrando el ciclo de sincronización.</w:t>
      </w:r>
    </w:p>
    <w:p/>
    <w:p>
      <w:pPr>
        <w:pStyle w:val="Heading2"/>
        <w:spacing w:after="120" w:before="280"/>
      </w:pPr>
      <w:r>
        <w:rPr>
          <w:rFonts w:ascii="Calibri" w:cs="Calibri" w:eastAsia="Calibri" w:hAnsi="Calibri"/>
          <w:b/>
          <w:bCs/>
          <w:color w:val="1E3A5F"/>
          <w:sz w:val="36"/>
          <w:szCs w:val="36"/>
        </w:rPr>
        <w:t xml:space="preserve">11.1 Actualización Webhook → Firestore</w:t>
      </w:r>
    </w:p>
    <w:p>
      <w:pPr>
        <w:spacing w:after="80" w:before="80" w:line="320"/>
      </w:pPr>
      <w:r>
        <w:rPr>
          <w:rFonts w:ascii="Calibri" w:cs="Calibri" w:eastAsia="Calibri" w:hAnsi="Calibri"/>
          <w:color w:val="0F172A"/>
          <w:sz w:val="22"/>
          <w:szCs w:val="22"/>
        </w:rPr>
        <w:t xml:space="preserve">Cuando Monday dispara un evento de cambio de columna o estado, el webhook en /api/monday-webhook procesa el evento: busca el proyecto TEC Bii por mondayItemId, actualiza su estado y avance, y opcionalmente re-publica la entidad al grafo NEXO (publishEntityToGraph) para reflejar el cambio en el contexto cognitivo del sistema.</w:t>
      </w:r>
    </w:p>
    <w:p/>
    <w:p>
      <w:pPr>
        <w:pStyle w:val="Heading2"/>
        <w:spacing w:after="120" w:before="280"/>
      </w:pPr>
      <w:r>
        <w:rPr>
          <w:rFonts w:ascii="Calibri" w:cs="Calibri" w:eastAsia="Calibri" w:hAnsi="Calibri"/>
          <w:b/>
          <w:bCs/>
          <w:color w:val="1E3A5F"/>
          <w:sz w:val="36"/>
          <w:szCs w:val="36"/>
        </w:rPr>
        <w:t xml:space="preserve">11.2 Creación de Tareas Monday desde HERMES</w:t>
      </w:r>
    </w:p>
    <w:p>
      <w:pPr>
        <w:spacing w:after="80" w:before="80" w:line="320"/>
      </w:pPr>
      <w:r>
        <w:rPr>
          <w:rFonts w:ascii="Calibri" w:cs="Calibri" w:eastAsia="Calibri" w:hAnsi="Calibri"/>
          <w:color w:val="0F172A"/>
          <w:sz w:val="22"/>
          <w:szCs w:val="22"/>
        </w:rPr>
        <w:t xml:space="preserve">Cuando un proyecto tiene assigneeRisk=true o un brief urgente requiere escalamiento, HERMES puede crear automáticamente una tarea en Monday mediante el conector monday_cloud. El payload incluye el nombre del proyecto, el estado de urgencia (Stuck/Working on it) y los datos del asignado. La tarea se crea en la cola de HERMES como acción pendiente de aprobación antes de ejecutarse.</w:t>
      </w:r>
    </w:p>
    <w:p>
      <w:r>
        <w:br w:type="page"/>
      </w:r>
    </w:p>
    <w:p>
      <w:pPr>
        <w:pStyle w:val="Heading1"/>
        <w:spacing w:after="160" w:before="360"/>
      </w:pPr>
      <w:r>
        <w:rPr>
          <w:rFonts w:ascii="Calibri" w:cs="Calibri" w:eastAsia="Calibri" w:hAnsi="Calibri"/>
          <w:b/>
          <w:bCs/>
          <w:color w:val="0F172A"/>
          <w:sz w:val="48"/>
          <w:szCs w:val="48"/>
        </w:rPr>
        <w:t xml:space="preserve">12. Sistema de Riesgo Predictivo — Sprint P-1</w:t>
      </w:r>
    </w:p>
    <w:p>
      <w:pPr>
        <w:spacing w:after="80" w:before="80" w:line="320"/>
      </w:pPr>
      <w:r>
        <w:rPr>
          <w:rFonts w:ascii="Calibri" w:cs="Calibri" w:eastAsia="Calibri" w:hAnsi="Calibri"/>
          <w:color w:val="0F172A"/>
          <w:sz w:val="22"/>
          <w:szCs w:val="22"/>
        </w:rPr>
        <w:t xml:space="preserve">El sistema predictivo de TEC Bii opera en tres niveles: detección rule-based en evaluaciones individuales, propagación de riesgo del asignado a proyectos activos, y análisis LLM de patrones emergentes. Juntos forman una red de alertas tempranas que permite al área actuar antes de que los problemas se materialicen.</w:t>
      </w:r>
    </w:p>
    <w:p/>
    <w:p>
      <w:pPr>
        <w:pStyle w:val="Heading2"/>
        <w:spacing w:after="120" w:before="280"/>
      </w:pPr>
      <w:r>
        <w:rPr>
          <w:rFonts w:ascii="Calibri" w:cs="Calibri" w:eastAsia="Calibri" w:hAnsi="Calibri"/>
          <w:b/>
          <w:bCs/>
          <w:color w:val="1E3A5F"/>
          <w:sz w:val="36"/>
          <w:szCs w:val="36"/>
        </w:rPr>
        <w:t xml:space="preserve">12.1 Ciclo de Vida del Riesgo</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16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Paso</w:t>
            </w:r>
          </w:p>
        </w:tc>
        <w:tc>
          <w:tcPr>
            <w:tcW w:type="dxa" w:w="28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Evento Disparador</w:t>
            </w:r>
          </w:p>
        </w:tc>
        <w:tc>
          <w:tcPr>
            <w:tcW w:type="dxa" w:w="49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Acción del Sistema</w:t>
            </w:r>
          </w:p>
        </w:tc>
      </w:tr>
      <w:tr>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1. Evaluación registrada</w:t>
            </w:r>
          </w:p>
        </w:tc>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Usuario crea EvaluacionV2</w:t>
            </w:r>
          </w:p>
        </w:tc>
        <w:tc>
          <w:tcPr>
            <w:tcW w:type="dxa" w:w="4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updateEntityStats() recalcula calidadPromedio, cumplimientoRate, tendenciaCalidad</w:t>
            </w:r>
          </w:p>
        </w:tc>
      </w:tr>
      <w:tr>
        <w:tc>
          <w:tcPr>
            <w:tcW w:type="dxa" w:w="1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2. Umbral superado</w:t>
            </w:r>
          </w:p>
        </w:tc>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calidadPromedio&lt;3.0 ó cumplimientoRate&lt;0.6</w:t>
            </w:r>
          </w:p>
        </w:tc>
        <w:tc>
          <w:tcPr>
            <w:tcW w:type="dxa" w:w="49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alertaRiesgo=true en empleado/proveedor</w:t>
            </w:r>
          </w:p>
        </w:tc>
      </w:tr>
      <w:tr>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3. Propagación</w:t>
            </w:r>
          </w:p>
        </w:tc>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Batch diario ó creación de proyecto</w:t>
            </w:r>
          </w:p>
        </w:tc>
        <w:tc>
          <w:tcPr>
            <w:tcW w:type="dxa" w:w="4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assigneeRisk=true en proyectos activos del asignado</w:t>
            </w:r>
          </w:p>
        </w:tc>
      </w:tr>
      <w:tr>
        <w:tc>
          <w:tcPr>
            <w:tcW w:type="dxa" w:w="1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4. Detección predictiva</w:t>
            </w:r>
          </w:p>
        </w:tc>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GET /api/tec-bii/insights</w:t>
            </w:r>
          </w:p>
        </w:tc>
        <w:tc>
          <w:tcPr>
            <w:tcW w:type="dxa" w:w="49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buildPredictiveInsights() genera alertas específicas con contexto</w:t>
            </w:r>
          </w:p>
        </w:tc>
      </w:tr>
      <w:tr>
        <w:tc>
          <w:tcPr>
            <w:tcW w:type="dxa" w:w="1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5. Visibilidad</w:t>
            </w:r>
          </w:p>
        </w:tc>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Panel /tec-bii/inteligencia</w:t>
            </w:r>
          </w:p>
        </w:tc>
        <w:tc>
          <w:tcPr>
            <w:tcW w:type="dxa" w:w="4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Sección 'Riesgo Predictivo' muestra alertas priorizadas</w:t>
            </w:r>
          </w:p>
        </w:tc>
      </w:tr>
      <w:tr>
        <w:tc>
          <w:tcPr>
            <w:tcW w:type="dxa" w:w="1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6. Acción</w:t>
            </w:r>
          </w:p>
        </w:tc>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Herramienta consultar_riesgo</w:t>
            </w:r>
          </w:p>
        </w:tc>
        <w:tc>
          <w:tcPr>
            <w:tcW w:type="dxa" w:w="49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SOFIAA puede reportar el riesgo en conversación proactivamente</w:t>
            </w:r>
          </w:p>
        </w:tc>
      </w:tr>
    </w:tbl>
    <w:p/>
    <w:p>
      <w:pPr>
        <w:pStyle w:val="Heading2"/>
        <w:spacing w:after="120" w:before="280"/>
      </w:pPr>
      <w:r>
        <w:rPr>
          <w:rFonts w:ascii="Calibri" w:cs="Calibri" w:eastAsia="Calibri" w:hAnsi="Calibri"/>
          <w:b/>
          <w:bCs/>
          <w:color w:val="1E3A5F"/>
          <w:sz w:val="36"/>
          <w:szCs w:val="36"/>
        </w:rPr>
        <w:t xml:space="preserve">12.2 Alertas Predictivas Rule-Based</w:t>
      </w:r>
    </w:p>
    <w:p>
      <w:pPr>
        <w:spacing w:after="80" w:before="80" w:line="320"/>
      </w:pPr>
      <w:r>
        <w:rPr>
          <w:rFonts w:ascii="Calibri" w:cs="Calibri" w:eastAsia="Calibri" w:hAnsi="Calibri"/>
          <w:color w:val="0F172A"/>
          <w:sz w:val="22"/>
          <w:szCs w:val="22"/>
        </w:rPr>
        <w:t xml:space="preserve">buildPredictiveInsights() genera cuatro tipos de alertas, todas sin llamada al LLM (determinísticas y de baja latencia): riesgo de calidad (calidadPromedio&lt;3.0, prioridad alta si &lt;2.0), riesgo de retraso (cumplimientoRate&lt;0.6, prioridad alta si &lt;0.4), tendencia negativa (tendenciaCalidad='bajando' con ≥4 evaluaciones) y riesgo de sobrecosto en proveedores (variacionCosto&gt;20%, prioridad alta si &gt;40%). Solo se activan si totalEvaluaciones≥2 para evitar falsos positivos con datos insuficientes.</w:t>
      </w:r>
    </w:p>
    <w:p>
      <w:r>
        <w:br w:type="page"/>
      </w:r>
    </w:p>
    <w:p>
      <w:pPr>
        <w:pStyle w:val="Heading1"/>
        <w:spacing w:after="160" w:before="360"/>
      </w:pPr>
      <w:r>
        <w:rPr>
          <w:rFonts w:ascii="Calibri" w:cs="Calibri" w:eastAsia="Calibri" w:hAnsi="Calibri"/>
          <w:b/>
          <w:bCs/>
          <w:color w:val="0F172A"/>
          <w:sz w:val="48"/>
          <w:szCs w:val="48"/>
        </w:rPr>
        <w:t xml:space="preserve">13. Team Cognition — SkillProfile y Carga del Equipo (Sprint T2-5)</w:t>
      </w:r>
    </w:p>
    <w:p>
      <w:pPr>
        <w:spacing w:after="80" w:before="80" w:line="320"/>
      </w:pPr>
      <w:r>
        <w:rPr>
          <w:rFonts w:ascii="Calibri" w:cs="Calibri" w:eastAsia="Calibri" w:hAnsi="Calibri"/>
          <w:color w:val="0F172A"/>
          <w:sz w:val="22"/>
          <w:szCs w:val="22"/>
        </w:rPr>
        <w:t xml:space="preserve">La página /tec-bii/equipo implementa el módulo Team Cognition, que transforma la gestión de talento en un sistema de inteligencia de equipo. Cada empleado tiene un SkillProfile que mapea sus competencias en dimensiones técnicas y creativas, visible junto con su carga actual, calidad histórica y estado cognitivo en el grafo NEXO.</w:t>
      </w:r>
    </w:p>
    <w:p/>
    <w:p>
      <w:pPr>
        <w:pStyle w:val="Heading2"/>
        <w:spacing w:after="120" w:before="280"/>
      </w:pPr>
      <w:r>
        <w:rPr>
          <w:rFonts w:ascii="Calibri" w:cs="Calibri" w:eastAsia="Calibri" w:hAnsi="Calibri"/>
          <w:b/>
          <w:bCs/>
          <w:color w:val="1E3A5F"/>
          <w:sz w:val="36"/>
          <w:szCs w:val="36"/>
        </w:rPr>
        <w:t xml:space="preserve">13.1 Dimensiones del SkillProfile</w:t>
      </w:r>
    </w:p>
    <w:p>
      <w:pPr>
        <w:spacing w:after="80" w:before="80" w:line="320"/>
      </w:pPr>
      <w:r>
        <w:rPr>
          <w:rFonts w:ascii="Calibri" w:cs="Calibri" w:eastAsia="Calibri" w:hAnsi="Calibri"/>
          <w:color w:val="0F172A"/>
          <w:sz w:val="22"/>
          <w:szCs w:val="22"/>
        </w:rPr>
        <w:t xml:space="preserve">El SkillProfile registra las habilidades clave del empleado en áreas como: dirección de fotografía, edición de video, motion graphics, diseño gráfico, producción de audio, streaming en vivo, y gestión de producción. Cada skill tiene un nivel de competencia (1-5) que se usa para matching inteligente en la asignación de proyectos.</w:t>
      </w:r>
    </w:p>
    <w:p/>
    <w:p>
      <w:pPr>
        <w:pStyle w:val="Heading2"/>
        <w:spacing w:after="120" w:before="280"/>
      </w:pPr>
      <w:r>
        <w:rPr>
          <w:rFonts w:ascii="Calibri" w:cs="Calibri" w:eastAsia="Calibri" w:hAnsi="Calibri"/>
          <w:b/>
          <w:bCs/>
          <w:color w:val="1E3A5F"/>
          <w:sz w:val="36"/>
          <w:szCs w:val="36"/>
        </w:rPr>
        <w:t xml:space="preserve">13.2 Indicadores de Carga y Riesgo</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4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Indicador</w:t>
            </w:r>
          </w:p>
        </w:tc>
        <w:tc>
          <w:tcPr>
            <w:tcW w:type="dxa" w:w="18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Umbral</w:t>
            </w:r>
          </w:p>
        </w:tc>
        <w:tc>
          <w:tcPr>
            <w:tcW w:type="dxa" w:w="51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Significado</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cargaActual</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0.85</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Empleado saturado — no asignar proyectos adicionales</w:t>
            </w:r>
          </w:p>
        </w:tc>
      </w:tr>
      <w:tr>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cargaActual</w:t>
            </w:r>
          </w:p>
        </w:tc>
        <w:tc>
          <w:tcPr>
            <w:tcW w:type="dxa" w:w="1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&lt; 0.35</w:t>
            </w:r>
          </w:p>
        </w:tc>
        <w:tc>
          <w:tcPr>
            <w:tcW w:type="dxa" w:w="51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Empleado disponible — candidato a nuevas asignaciones</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cumplimientoRate</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&lt; 0.60</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Alerta de confiabilidad — revisar antes de asignar</w:t>
            </w:r>
          </w:p>
        </w:tc>
      </w:tr>
      <w:tr>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calidadPromedio</w:t>
            </w:r>
          </w:p>
        </w:tc>
        <w:tc>
          <w:tcPr>
            <w:tcW w:type="dxa" w:w="1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&lt; 3.0/5.0</w:t>
            </w:r>
          </w:p>
        </w:tc>
        <w:tc>
          <w:tcPr>
            <w:tcW w:type="dxa" w:w="51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Alerta de calidad — seguimiento cercano requerido</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tendenciaCalidad</w:t>
            </w:r>
          </w:p>
        </w:tc>
        <w:tc>
          <w:tcPr>
            <w:tcW w:type="dxa" w:w="1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'bajando'</w:t>
            </w:r>
          </w:p>
        </w:tc>
        <w:tc>
          <w:tcPr>
            <w:tcW w:type="dxa" w:w="51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Patrón negativo emergente — intervención temprana</w:t>
            </w:r>
          </w:p>
        </w:tc>
      </w:tr>
    </w:tbl>
    <w:p>
      <w:r>
        <w:br w:type="page"/>
      </w:r>
    </w:p>
    <w:p>
      <w:pPr>
        <w:pStyle w:val="Heading1"/>
        <w:spacing w:after="160" w:before="360"/>
      </w:pPr>
      <w:r>
        <w:rPr>
          <w:rFonts w:ascii="Calibri" w:cs="Calibri" w:eastAsia="Calibri" w:hAnsi="Calibri"/>
          <w:b/>
          <w:bCs/>
          <w:color w:val="0F172A"/>
          <w:sz w:val="48"/>
          <w:szCs w:val="48"/>
        </w:rPr>
        <w:t xml:space="preserve">14. Interfaz de Usuario — Páginas del Módulo TEC Bii</w:t>
      </w:r>
    </w:p>
    <w:p>
      <w:pPr>
        <w:spacing w:after="80" w:before="80" w:line="320"/>
      </w:pPr>
      <w:r>
        <w:rPr>
          <w:rFonts w:ascii="Calibri" w:cs="Calibri" w:eastAsia="Calibri" w:hAnsi="Calibri"/>
          <w:color w:val="0F172A"/>
          <w:sz w:val="22"/>
          <w:szCs w:val="22"/>
        </w:rPr>
        <w:t xml:space="preserve">TEC Bii tiene 8 páginas en la aplicación Next.js, todas bajo /tec-bii/. El módulo usa un tema visual de color teal/cian (#0D9488) que lo distingue visualmente de ATENA (azul), PROMETEO (naranja) y ALEJANDRÍA (dorado). Todas las páginas son server-protected por PageGuard.tsx (Sprint Q-1) que verifica la sesión Firebase.</w:t>
      </w:r>
    </w:p>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2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Ruta</w:t>
            </w:r>
          </w:p>
        </w:tc>
        <w:tc>
          <w:tcPr>
            <w:tcW w:type="dxa" w:w="24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Nombre</w:t>
            </w:r>
          </w:p>
        </w:tc>
        <w:tc>
          <w:tcPr>
            <w:tcW w:type="dxa" w:w="47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Función Principal</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/tec-bii</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Centro de Mando</w:t>
            </w:r>
          </w:p>
        </w:tc>
        <w:tc>
          <w:tcPr>
            <w:tcW w:type="dxa" w:w="4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Dashboard con KPIs cognitivos, CRONs y estado del sistema</w:t>
            </w:r>
          </w:p>
        </w:tc>
      </w:tr>
      <w:tr>
        <w:tc>
          <w:tcPr>
            <w:tcW w:type="dxa" w:w="2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/tec-bii/proyectos</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Proyectos Cognitivos</w:t>
            </w:r>
          </w:p>
        </w:tc>
        <w:tc>
          <w:tcPr>
            <w:tcW w:type="dxa" w:w="47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Lista con urgencyScore, riskLevel, en_grafo indicator</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/tec-bii/briefs</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Canvas de Briefs</w:t>
            </w:r>
          </w:p>
        </w:tc>
        <w:tc>
          <w:tcPr>
            <w:tcW w:type="dxa" w:w="4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Lista V2 con modo IA (brief-gen) y modo manual</w:t>
            </w:r>
          </w:p>
        </w:tc>
      </w:tr>
      <w:tr>
        <w:tc>
          <w:tcPr>
            <w:tcW w:type="dxa" w:w="2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/tec-bii/equipo</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Team Cognition</w:t>
            </w:r>
          </w:p>
        </w:tc>
        <w:tc>
          <w:tcPr>
            <w:tcW w:type="dxa" w:w="47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SkillProfile + carga + calidad del equipo</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/tec-bii/proveedores</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Proveedores</w:t>
            </w:r>
          </w:p>
        </w:tc>
        <w:tc>
          <w:tcPr>
            <w:tcW w:type="dxa" w:w="4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Gestión con costPrediction y variacionCosto</w:t>
            </w:r>
          </w:p>
        </w:tc>
      </w:tr>
      <w:tr>
        <w:tc>
          <w:tcPr>
            <w:tcW w:type="dxa" w:w="2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/tec-bii/inteligencia</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Inteligencia TEC Bii</w:t>
            </w:r>
          </w:p>
        </w:tc>
        <w:tc>
          <w:tcPr>
            <w:tcW w:type="dxa" w:w="47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Insights, hipótesis cruzadas, N.O.R.A. + historial</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/tec-bii/analisis</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Análisis de Costos</w:t>
            </w:r>
          </w:p>
        </w:tc>
        <w:tc>
          <w:tcPr>
            <w:tcW w:type="dxa" w:w="4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ROI simulator con rentabilidad y costo interno</w:t>
            </w:r>
          </w:p>
        </w:tc>
      </w:tr>
      <w:tr>
        <w:tc>
          <w:tcPr>
            <w:tcW w:type="dxa" w:w="22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/tec-bii/roi</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Simulador de Impacto</w:t>
            </w:r>
          </w:p>
        </w:tc>
        <w:tc>
          <w:tcPr>
            <w:tcW w:type="dxa" w:w="47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Proyección de ROI institucional</w:t>
            </w:r>
          </w:p>
        </w:tc>
      </w:tr>
    </w:tbl>
    <w:p>
      <w:r>
        <w:br w:type="page"/>
      </w:r>
    </w:p>
    <w:p>
      <w:pPr>
        <w:pStyle w:val="Heading1"/>
        <w:spacing w:after="160" w:before="360"/>
      </w:pPr>
      <w:r>
        <w:rPr>
          <w:rFonts w:ascii="Calibri" w:cs="Calibri" w:eastAsia="Calibri" w:hAnsi="Calibri"/>
          <w:b/>
          <w:bCs/>
          <w:color w:val="0F172A"/>
          <w:sz w:val="48"/>
          <w:szCs w:val="48"/>
        </w:rPr>
        <w:t xml:space="preserve">15. Historia de Sprints — Del Tier 3 al Tier 4</w:t>
      </w:r>
    </w:p>
    <w:p>
      <w:pPr>
        <w:spacing w:after="80" w:before="80" w:line="320"/>
      </w:pPr>
      <w:r>
        <w:rPr>
          <w:rFonts w:ascii="Calibri" w:cs="Calibri" w:eastAsia="Calibri" w:hAnsi="Calibri"/>
          <w:color w:val="0F172A"/>
          <w:sz w:val="22"/>
          <w:szCs w:val="22"/>
        </w:rPr>
        <w:t xml:space="preserve">TEC Bii evolucionó desde un sistema de gestión de proyectos (Tier 3) hacia un sistema de cognición distribuida (Tier 4) a lo largo de 9 sprints principales y 3 sprints de calidad. Cada sprint añadió una capacidad cognitiva nueva al sistema.</w:t>
      </w:r>
    </w:p>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14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Sprint</w:t>
            </w:r>
          </w:p>
        </w:tc>
        <w:tc>
          <w:tcPr>
            <w:tcW w:type="dxa" w:w="24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Nombre</w:t>
            </w:r>
          </w:p>
        </w:tc>
        <w:tc>
          <w:tcPr>
            <w:tcW w:type="dxa" w:w="55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Capacidad Añadida</w:t>
            </w:r>
          </w:p>
        </w:tc>
      </w:tr>
      <w:tr>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T2-0</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Schema + Fundación</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CognitiveFootprint, manifest, layout, dashboard cognitivo</w:t>
            </w:r>
          </w:p>
        </w:tc>
      </w:tr>
      <w:tr>
        <w:tc>
          <w:tcPr>
            <w:tcW w:type="dxa" w:w="1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T2-1</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Cognitive Publisher</w:t>
            </w:r>
          </w:p>
        </w:tc>
        <w:tc>
          <w:tcPr>
            <w:tcW w:type="dxa" w:w="5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publishEntityToGraph() — entidades TEC Bii → grafo NEXO</w:t>
            </w:r>
          </w:p>
        </w:tc>
      </w:tr>
      <w:tr>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T2-2</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Insights API</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POST /api/tec-bii/insights — análisis operacional con Groq</w:t>
            </w:r>
          </w:p>
        </w:tc>
      </w:tr>
      <w:tr>
        <w:tc>
          <w:tcPr>
            <w:tcW w:type="dxa" w:w="1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T2-3</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Brief Intelligence</w:t>
            </w:r>
          </w:p>
        </w:tc>
        <w:tc>
          <w:tcPr>
            <w:tcW w:type="dxa" w:w="5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POST /api/tec-bii/brief-gen — generación de briefs desde lenguaje natural</w:t>
            </w:r>
          </w:p>
        </w:tc>
      </w:tr>
      <w:tr>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T2-4</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Cross-Domain Engine</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Razonamiento cruzado NEXO↔TEC Bii — hipótesis semánticas</w:t>
            </w:r>
          </w:p>
        </w:tc>
      </w:tr>
      <w:tr>
        <w:tc>
          <w:tcPr>
            <w:tcW w:type="dxa" w:w="1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T2-5</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Team Cognition</w:t>
            </w:r>
          </w:p>
        </w:tc>
        <w:tc>
          <w:tcPr>
            <w:tcW w:type="dxa" w:w="5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SkillProfile + carga del equipo + página /tec-bii/equipo</w:t>
            </w:r>
          </w:p>
        </w:tc>
      </w:tr>
      <w:tr>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T2-6</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N.O.R.A. Reflection</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Reflexión cognitiva periódica con cooldown de 6h</w:t>
            </w:r>
          </w:p>
        </w:tc>
      </w:tr>
      <w:tr>
        <w:tc>
          <w:tcPr>
            <w:tcW w:type="dxa" w:w="1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M-7</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Refinement CRON</w:t>
            </w:r>
          </w:p>
        </w:tc>
        <w:tc>
          <w:tcPr>
            <w:tcW w:type="dxa" w:w="5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Motor batch orquestador: republish + NORA + cross-domain</w:t>
            </w:r>
          </w:p>
        </w:tc>
      </w:tr>
      <w:tr>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Q-1</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PageGuard</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Protección de rutas con Firebase Auth — TecBiiContext</w:t>
            </w:r>
          </w:p>
        </w:tc>
      </w:tr>
      <w:tr>
        <w:tc>
          <w:tcPr>
            <w:tcW w:type="dxa" w:w="1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Q-2</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Tools v2</w:t>
            </w:r>
          </w:p>
        </w:tc>
        <w:tc>
          <w:tcPr>
            <w:tcW w:type="dxa" w:w="5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5 herramientas v2 para chat SOFIAA — elimina request_capability</w:t>
            </w:r>
          </w:p>
        </w:tc>
      </w:tr>
      <w:tr>
        <w:tc>
          <w:tcPr>
            <w:tcW w:type="dxa" w:w="1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Q-3</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Monday Webhook v2</w:t>
            </w:r>
          </w:p>
        </w:tc>
        <w:tc>
          <w:tcPr>
            <w:tcW w:type="dxa" w:w="5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Webhook bidireccional + NEXO publish en cambios Monday</w:t>
            </w:r>
          </w:p>
        </w:tc>
      </w:tr>
      <w:tr>
        <w:tc>
          <w:tcPr>
            <w:tcW w:type="dxa" w:w="1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P-1</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Riesgo Predictivo</w:t>
            </w:r>
          </w:p>
        </w:tc>
        <w:tc>
          <w:tcPr>
            <w:tcW w:type="dxa" w:w="5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alertaRiesgo propagación + alertas rule-based en insights</w:t>
            </w:r>
          </w:p>
        </w:tc>
      </w:tr>
    </w:tbl>
    <w:p>
      <w:r>
        <w:br w:type="page"/>
      </w:r>
    </w:p>
    <w:p>
      <w:pPr>
        <w:pStyle w:val="Heading1"/>
        <w:spacing w:after="160" w:before="360"/>
      </w:pPr>
      <w:r>
        <w:rPr>
          <w:rFonts w:ascii="Calibri" w:cs="Calibri" w:eastAsia="Calibri" w:hAnsi="Calibri"/>
          <w:b/>
          <w:bCs/>
          <w:color w:val="0F172A"/>
          <w:sz w:val="48"/>
          <w:szCs w:val="48"/>
        </w:rPr>
        <w:t xml:space="preserve">16. Firestore — Modelo de Datos y Paths</w:t>
      </w:r>
    </w:p>
    <w:p>
      <w:pPr>
        <w:spacing w:after="80" w:before="80" w:line="320"/>
      </w:pPr>
      <w:r>
        <w:rPr>
          <w:rFonts w:ascii="Calibri" w:cs="Calibri" w:eastAsia="Calibri" w:hAnsi="Calibri"/>
          <w:color w:val="0F172A"/>
          <w:sz w:val="22"/>
          <w:szCs w:val="22"/>
        </w:rPr>
        <w:t xml:space="preserve">TEC Bii usa un modelo de datos multi-tenant bajo el namespace del usuario (users/{uid}/tec_bii_{collection}). Todas las colecciones son subcollections del documento de usuario, lo que garantiza aislamiento completo entre organizaciones. El sistema de logs y reflexiones N.O.R.A. tiene paths propios sin prefijo tec_bii_:</w:t>
      </w:r>
    </w:p>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8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Path Firestore</w:t>
            </w:r>
          </w:p>
        </w:tc>
        <w:tc>
          <w:tcPr>
            <w:tcW w:type="dxa" w:w="26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Contenido</w:t>
            </w:r>
          </w:p>
        </w:tc>
        <w:tc>
          <w:tcPr>
            <w:tcW w:type="dxa" w:w="39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Documentos Típicos</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users/{uid}/tec_bii_proyectos</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ProyectoV2 con CognitiveFootprint</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50-200 proyectos por área</w:t>
            </w:r>
          </w:p>
        </w:tc>
      </w:tr>
      <w:tr>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users/{uid}/tec_bii_briefs</w:t>
            </w:r>
          </w:p>
        </w:tc>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BriefV2 con briefScore y urgencyScore</w:t>
            </w:r>
          </w:p>
        </w:tc>
        <w:tc>
          <w:tcPr>
            <w:tcW w:type="dxa" w:w="39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100-500 briefs acumulados</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users/{uid}/tec_bii_empleados</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EmpleadoV2 con SkillProfile y alertaRiesgo</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5-30 empleados activos</w:t>
            </w:r>
          </w:p>
        </w:tc>
      </w:tr>
      <w:tr>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users/{uid}/tec_bii_proveedores</w:t>
            </w:r>
          </w:p>
        </w:tc>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ProveedorV2 con costPrediction</w:t>
            </w:r>
          </w:p>
        </w:tc>
        <w:tc>
          <w:tcPr>
            <w:tcW w:type="dxa" w:w="39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10-50 proveedores</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users/{uid}/tec_bii_clientes</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ClienteInternoV2</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5-20 unidades académicas TEC</w:t>
            </w:r>
          </w:p>
        </w:tc>
      </w:tr>
      <w:tr>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users/{uid}/tec_bii_evaluaciones</w:t>
            </w:r>
          </w:p>
        </w:tc>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EvaluacionV2 con métricas 1-5</w:t>
            </w:r>
          </w:p>
        </w:tc>
        <w:tc>
          <w:tcPr>
            <w:tcW w:type="dxa" w:w="39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200+ evaluaciones históricas</w:t>
            </w:r>
          </w:p>
        </w:tc>
      </w:tr>
      <w:tr>
        <w:tc>
          <w:tcPr>
            <w:tcW w:type="dxa" w:w="28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users/{uid}/tec_bii_reflexiones</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NoraReflection con narrativa y patrones</w:t>
            </w:r>
          </w:p>
        </w:tc>
        <w:tc>
          <w:tcPr>
            <w:tcW w:type="dxa" w:w="39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1 reflexión cada 6h aprox</w:t>
            </w:r>
          </w:p>
        </w:tc>
      </w:tr>
      <w:tr>
        <w:tc>
          <w:tcPr>
            <w:tcW w:type="dxa" w:w="28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tec_bii_refine_logs/{runId}</w:t>
            </w:r>
          </w:p>
        </w:tc>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RefineResult del batch diario</w:t>
            </w:r>
          </w:p>
        </w:tc>
        <w:tc>
          <w:tcPr>
            <w:tcW w:type="dxa" w:w="39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1 log por ejecución CRON</w:t>
            </w:r>
          </w:p>
        </w:tc>
      </w:tr>
    </w:tbl>
    <w:p>
      <w:r>
        <w:br w:type="page"/>
      </w:r>
    </w:p>
    <w:p>
      <w:pPr>
        <w:pStyle w:val="Heading1"/>
        <w:spacing w:after="160" w:before="360"/>
      </w:pPr>
      <w:r>
        <w:rPr>
          <w:rFonts w:ascii="Calibri" w:cs="Calibri" w:eastAsia="Calibri" w:hAnsi="Calibri"/>
          <w:b/>
          <w:bCs/>
          <w:color w:val="0F172A"/>
          <w:sz w:val="48"/>
          <w:szCs w:val="48"/>
        </w:rPr>
        <w:t xml:space="preserve">17. Integración con N.E.X.O. — Cognición Distribuida</w:t>
      </w:r>
    </w:p>
    <w:p>
      <w:pPr>
        <w:spacing w:after="80" w:before="80" w:line="320"/>
      </w:pPr>
      <w:r>
        <w:rPr>
          <w:rFonts w:ascii="Calibri" w:cs="Calibri" w:eastAsia="Calibri" w:hAnsi="Calibri"/>
          <w:color w:val="0F172A"/>
          <w:sz w:val="22"/>
          <w:szCs w:val="22"/>
        </w:rPr>
        <w:t xml:space="preserve">TEC Bii no es un sistema aislado: es una capa cognitiva que se integra profundamente con el grafo de conocimiento N.E.X.O. Cada entidad operacional se convierte en un nodo del grafo global de la organización, conectándose semánticamente con capturas de investigación, documentos de ALEJANDRÍA, identidades de marca de PROMETEO e incluso métricas de proyectos de ATENA.</w:t>
      </w:r>
    </w:p>
    <w:p/>
    <w:p>
      <w:pPr>
        <w:pStyle w:val="Heading2"/>
        <w:spacing w:after="120" w:before="280"/>
      </w:pPr>
      <w:r>
        <w:rPr>
          <w:rFonts w:ascii="Calibri" w:cs="Calibri" w:eastAsia="Calibri" w:hAnsi="Calibri"/>
          <w:b/>
          <w:bCs/>
          <w:color w:val="1E3A5F"/>
          <w:sz w:val="36"/>
          <w:szCs w:val="36"/>
        </w:rPr>
        <w:t xml:space="preserve">17.1 TEC Bii como Fuente de Conocimiento Operacional</w:t>
      </w:r>
    </w:p>
    <w:p>
      <w:pPr>
        <w:spacing w:after="80" w:before="80" w:line="320"/>
      </w:pPr>
      <w:r>
        <w:rPr>
          <w:rFonts w:ascii="Calibri" w:cs="Calibri" w:eastAsia="Calibri" w:hAnsi="Calibri"/>
          <w:color w:val="0F172A"/>
          <w:sz w:val="22"/>
          <w:szCs w:val="22"/>
        </w:rPr>
        <w:t xml:space="preserve">En el grafo N.E.X.O., los nodos TEC Bii tienen source='tec_bii' y decayRate=0.03 (más lento que capturas web con 0.05). Esto refleja que las entidades operacionales son más estables que las referencias externas. El campo importanceScore determina su visibilidad en las búsquedas semánticas del chat: los proyectos urgentes con importancia calculada alta aparecerán en los primeros resultados cuando el usuario pregunte sobre su trabajo actual.</w:t>
      </w:r>
    </w:p>
    <w:p/>
    <w:p>
      <w:pPr>
        <w:pStyle w:val="Heading2"/>
        <w:spacing w:after="120" w:before="280"/>
      </w:pPr>
      <w:r>
        <w:rPr>
          <w:rFonts w:ascii="Calibri" w:cs="Calibri" w:eastAsia="Calibri" w:hAnsi="Calibri"/>
          <w:b/>
          <w:bCs/>
          <w:color w:val="1E3A5F"/>
          <w:sz w:val="36"/>
          <w:szCs w:val="36"/>
        </w:rPr>
        <w:t xml:space="preserve">17.2 Flujo de Datos en el Ecosistema SOFIAA</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24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Origen</w:t>
            </w:r>
          </w:p>
        </w:tc>
        <w:tc>
          <w:tcPr>
            <w:tcW w:type="dxa" w:w="24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 Destino</w:t>
            </w:r>
          </w:p>
        </w:tc>
        <w:tc>
          <w:tcPr>
            <w:tcW w:type="dxa" w:w="45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Mecanismo</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TEC Bii (ProyectoV2)</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NEXO (NexoNode)</w:t>
            </w:r>
          </w:p>
        </w:tc>
        <w:tc>
          <w:tcPr>
            <w:tcW w:type="dxa" w:w="4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publishEntityToGraph() / decayRate=0.03</w:t>
            </w:r>
          </w:p>
        </w:tc>
      </w:tr>
      <w:tr>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NEXO (capturas web)</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 TEC Bii (hypotheses)</w:t>
            </w:r>
          </w:p>
        </w:tc>
        <w:tc>
          <w:tcPr>
            <w:tcW w:type="dxa" w:w="4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Cross-Domain Engine / similitud coseno ≥0.60</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PROMETEO (Brand DNA)</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NEXO (brand_identity)</w:t>
            </w:r>
          </w:p>
        </w:tc>
        <w:tc>
          <w:tcPr>
            <w:tcW w:type="dxa" w:w="4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publishBrandDNA() / 6 nodos por cliente</w:t>
            </w:r>
          </w:p>
        </w:tc>
      </w:tr>
      <w:tr>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ALEJANDRÍA (corpus)</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 NEXO (documents)</w:t>
            </w:r>
          </w:p>
        </w:tc>
        <w:tc>
          <w:tcPr>
            <w:tcW w:type="dxa" w:w="4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ingest-biblioteca / embeddings semánticos</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ATENA (AMEF/SPC)</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HERMES (hermes_queue)</w:t>
            </w:r>
          </w:p>
        </w:tc>
        <w:tc>
          <w:tcPr>
            <w:tcW w:type="dxa" w:w="45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atena-bridge.ts / NPR&gt;200, WE violations</w:t>
            </w:r>
          </w:p>
        </w:tc>
      </w:tr>
      <w:tr>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TEC Bii (assigneeRisk)</w:t>
            </w:r>
          </w:p>
        </w:tc>
        <w:tc>
          <w:tcPr>
            <w:tcW w:type="dxa" w:w="24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 HERMES (hermes_queue)</w:t>
            </w:r>
          </w:p>
        </w:tc>
        <w:tc>
          <w:tcPr>
            <w:tcW w:type="dxa" w:w="45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monday_crear_tarea / urgencia ALTA</w:t>
            </w:r>
          </w:p>
        </w:tc>
      </w:tr>
    </w:tbl>
    <w:p>
      <w:r>
        <w:br w:type="page"/>
      </w:r>
    </w:p>
    <w:p>
      <w:pPr>
        <w:pStyle w:val="Heading1"/>
        <w:spacing w:after="160" w:before="360"/>
      </w:pPr>
      <w:r>
        <w:rPr>
          <w:rFonts w:ascii="Calibri" w:cs="Calibri" w:eastAsia="Calibri" w:hAnsi="Calibri"/>
          <w:b/>
          <w:bCs/>
          <w:color w:val="0F172A"/>
          <w:sz w:val="48"/>
          <w:szCs w:val="48"/>
        </w:rPr>
        <w:t xml:space="preserve">18. Conclusión — Hacia un Área de Producción Cognitiva</w:t>
      </w:r>
    </w:p>
    <w:p>
      <w:pPr>
        <w:spacing w:after="80" w:before="80" w:line="320"/>
      </w:pPr>
      <w:r>
        <w:rPr>
          <w:rFonts w:ascii="Calibri" w:cs="Calibri" w:eastAsia="Calibri" w:hAnsi="Calibri"/>
          <w:color w:val="0F172A"/>
          <w:sz w:val="22"/>
          <w:szCs w:val="22"/>
        </w:rPr>
        <w:t xml:space="preserve">TEC Bii representa la implementación más avanzada del paradigma Tier 4 en SOFIAA OS: un sistema donde la inteligencia operacional no es una capa separada, sino que emerge de las propias entidades del negocio. Cada proyecto, cada empleado, cada brief se convierte en un nodo del grafo cognitivo de la organización, capaz de razonar, conectarse y alertar de forma autónoma.</w:t>
      </w:r>
    </w:p>
    <w:p/>
    <w:p>
      <w:pPr>
        <w:spacing w:after="80" w:before="80" w:line="320"/>
      </w:pPr>
      <w:r>
        <w:rPr>
          <w:rFonts w:ascii="Calibri" w:cs="Calibri" w:eastAsia="Calibri" w:hAnsi="Calibri"/>
          <w:color w:val="0F172A"/>
          <w:sz w:val="22"/>
          <w:szCs w:val="22"/>
        </w:rPr>
        <w:t xml:space="preserve">Los tres principios arquitectónicos que distinguen TEC Bii como sistema Tier 4 son: (1) Cognición embebida — el CognitiveFootprint es parte del schema base, no una extensión opcional; (2) Propagación automática — el riesgo fluye del empleado al proyecto sin intervención humana; (3) Razonamiento emergente — las hipótesis cruzadas no son programadas, son descubiertas por similitud semántica entre mundos de conocimiento independientes.</w:t>
      </w:r>
    </w:p>
    <w:p/>
    <w:p>
      <w:pPr>
        <w:spacing w:after="80" w:before="80" w:line="320"/>
      </w:pPr>
      <w:r>
        <w:rPr>
          <w:rFonts w:ascii="Calibri" w:cs="Calibri" w:eastAsia="Calibri" w:hAnsi="Calibri"/>
          <w:color w:val="0F172A"/>
          <w:sz w:val="22"/>
          <w:szCs w:val="22"/>
        </w:rPr>
        <w:t xml:space="preserve">El resultado es un Área de Producción Audiovisual que aprende de sí misma: cada evaluación mejora el modelo de riesgo, cada reflexión N.O.R.A. acumula patrones históricos, cada hipótesis cruzada conecta el conocimiento externo del equipo con el trabajo interno del área. SOFIAA no solo gestiona el Área — la comprende.</w:t>
      </w:r>
    </w:p>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tcW w:type="dxa" w:w="30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Indicador de Madurez</w:t>
            </w:r>
          </w:p>
        </w:tc>
        <w:tc>
          <w:tcPr>
            <w:tcW w:type="dxa" w:w="260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Estado Actual</w:t>
            </w:r>
          </w:p>
        </w:tc>
        <w:tc>
          <w:tcPr>
            <w:tcW w:type="dxa" w:w="3760"/>
            <w:shd w:fill="1E3A5F"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Tier</w:t>
            </w:r>
          </w:p>
        </w:tc>
      </w:tr>
      <w:tr>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Ingesta de entidades al grafo NEXO</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Automática (cognitive-publisher)</w:t>
            </w:r>
          </w:p>
        </w:tc>
        <w:tc>
          <w:tcPr>
            <w:tcW w:type="dxa" w:w="3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Tier 3→4</w:t>
            </w:r>
          </w:p>
        </w:tc>
      </w:tr>
      <w:tr>
        <w:tc>
          <w:tcPr>
            <w:tcW w:type="dxa" w:w="3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Hipótesis cruzadas NEXO↔TEC Bii</w:t>
            </w:r>
          </w:p>
        </w:tc>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 Motor autónomo (cross-domain)</w:t>
            </w:r>
          </w:p>
        </w:tc>
        <w:tc>
          <w:tcPr>
            <w:tcW w:type="dxa" w:w="37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Tier 4</w:t>
            </w:r>
          </w:p>
        </w:tc>
      </w:tr>
      <w:tr>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Reflexión cognitiva periódica</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N.O.R.A. con cooldown 6h</w:t>
            </w:r>
          </w:p>
        </w:tc>
        <w:tc>
          <w:tcPr>
            <w:tcW w:type="dxa" w:w="3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Tier 4</w:t>
            </w:r>
          </w:p>
        </w:tc>
      </w:tr>
      <w:tr>
        <w:tc>
          <w:tcPr>
            <w:tcW w:type="dxa" w:w="3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Alertas predictivas rule-based</w:t>
            </w:r>
          </w:p>
        </w:tc>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 Sin LLM, baja latencia</w:t>
            </w:r>
          </w:p>
        </w:tc>
        <w:tc>
          <w:tcPr>
            <w:tcW w:type="dxa" w:w="37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Tier 4</w:t>
            </w:r>
          </w:p>
        </w:tc>
      </w:tr>
      <w:tr>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Propagación de riesgo asignado</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Batch diario + on-demand</w:t>
            </w:r>
          </w:p>
        </w:tc>
        <w:tc>
          <w:tcPr>
            <w:tcW w:type="dxa" w:w="3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Tier 4</w:t>
            </w:r>
          </w:p>
        </w:tc>
      </w:tr>
      <w:tr>
        <w:tc>
          <w:tcPr>
            <w:tcW w:type="dxa" w:w="3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Integración multi-motor (HERMES)</w:t>
            </w:r>
          </w:p>
        </w:tc>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 monday_cloud / slack</w:t>
            </w:r>
          </w:p>
        </w:tc>
        <w:tc>
          <w:tcPr>
            <w:tcW w:type="dxa" w:w="37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Tier 4</w:t>
            </w:r>
          </w:p>
        </w:tc>
      </w:tr>
      <w:tr>
        <w:tc>
          <w:tcPr>
            <w:tcW w:type="dxa" w:w="30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Chat tools v2 (5 herramientas)</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 Sin request_capability legacy</w:t>
            </w:r>
          </w:p>
        </w:tc>
        <w:tc>
          <w:tcPr>
            <w:tcW w:type="dxa" w:w="3760"/>
            <w:shd w:fill="FFFFFF" w:val="clear"/>
            <w:tcMar>
              <w:top w:type="dxa" w:w="80"/>
              <w:left w:type="dxa" w:w="100"/>
              <w:bottom w:type="dxa" w:w="80"/>
              <w:right w:type="dxa" w:w="100"/>
            </w:tcMar>
            <w:vAlign w:val="center"/>
          </w:tcPr>
          <w:p>
            <w:r>
              <w:rPr>
                <w:rFonts w:ascii="Calibri" w:cs="Calibri" w:eastAsia="Calibri" w:hAnsi="Calibri"/>
                <w:color w:val="0F172A"/>
                <w:sz w:val="18"/>
                <w:szCs w:val="18"/>
              </w:rPr>
              <w:t xml:space="preserve">Tier 4</w:t>
            </w:r>
          </w:p>
        </w:tc>
      </w:tr>
      <w:tr>
        <w:tc>
          <w:tcPr>
            <w:tcW w:type="dxa" w:w="30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CRON batch diario orquestado</w:t>
            </w:r>
          </w:p>
        </w:tc>
        <w:tc>
          <w:tcPr>
            <w:tcW w:type="dxa" w:w="260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 refine.ts / vercel.json</w:t>
            </w:r>
          </w:p>
        </w:tc>
        <w:tc>
          <w:tcPr>
            <w:tcW w:type="dxa" w:w="3760"/>
            <w:shd w:fill="F0FDFA" w:val="clear"/>
            <w:tcMar>
              <w:top w:type="dxa" w:w="80"/>
              <w:left w:type="dxa" w:w="100"/>
              <w:bottom w:type="dxa" w:w="80"/>
              <w:right w:type="dxa" w:w="100"/>
            </w:tcMar>
            <w:vAlign w:val="center"/>
          </w:tcPr>
          <w:p>
            <w:r>
              <w:rPr>
                <w:rFonts w:ascii="Calibri" w:cs="Calibri" w:eastAsia="Calibri" w:hAnsi="Calibri"/>
                <w:color w:val="0F172A"/>
                <w:sz w:val="18"/>
                <w:szCs w:val="18"/>
              </w:rPr>
              <w:t xml:space="preserve">Tier 4</w:t>
            </w:r>
          </w:p>
        </w:tc>
      </w:tr>
    </w:tbl>
    <w:p/>
    <w:p/>
    <w:p>
      <w:pPr>
        <w:spacing w:before="480"/>
        <w:jc w:val="center"/>
      </w:pPr>
      <w:r>
        <w:rPr>
          <w:rFonts w:ascii="Calibri" w:cs="Calibri" w:eastAsia="Calibri" w:hAnsi="Calibri"/>
          <w:color w:val="64748B"/>
          <w:sz w:val="20"/>
          <w:szCs w:val="20"/>
        </w:rPr>
        <w:t xml:space="preserve">SOFIAA OS · TEC Bii · Inteligencia Cognitiva Operacional</w:t>
      </w:r>
    </w:p>
    <w:p>
      <w:pPr>
        <w:spacing w:before="40"/>
        <w:jc w:val="center"/>
      </w:pPr>
      <w:r>
        <w:rPr>
          <w:rFonts w:ascii="Calibri" w:cs="Calibri" w:eastAsia="Calibri" w:hAnsi="Calibri"/>
          <w:color w:val="64748B"/>
          <w:sz w:val="20"/>
          <w:szCs w:val="20"/>
        </w:rPr>
        <w:t xml:space="preserve">Área de Producción Audiovisual · TEC de Monterrey · 2026</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2026-07-24T20:26:28.756Z</dcterms:created>
  <dcterms:modified xsi:type="dcterms:W3CDTF">2026-07-24T20:26:28.756Z</dcterms:modified>
</cp:coreProperties>
</file>

<file path=docProps/custom.xml><?xml version="1.0" encoding="utf-8"?>
<Properties xmlns="http://schemas.openxmlformats.org/officeDocument/2006/custom-properties" xmlns:vt="http://schemas.openxmlformats.org/officeDocument/2006/docPropsVTypes"/>
</file>