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800"/>
              <w:left w:type="dxa" w:w="500"/>
              <w:bottom w:type="dxa" w:w="400"/>
              <w:right w:type="dxa" w:w="500"/>
            </w:tcMar>
          </w:tcPr>
          <w:p>
            <w:pPr>
              <w:spacing w:after="80" w:before="0"/>
              <w:jc w:val="left"/>
            </w:pPr>
            <w:r>
              <w:rPr>
                <w:rFonts w:ascii="Arial" w:cs="Arial" w:eastAsia="Arial" w:hAnsi="Arial"/>
                <w:b/>
                <w:bCs/>
                <w:color w:val="14B8B8"/>
                <w:sz w:val="20"/>
                <w:szCs w:val="20"/>
              </w:rPr>
              <w:t xml:space="preserve">NABARD–SSPL Advisory Framework</w:t>
            </w:r>
          </w:p>
          <w:p>
            <w:pPr>
              <w:spacing w:after="80" w:before="80"/>
            </w:pPr>
            <w:r>
              <w:rPr>
                <w:rFonts w:ascii="Arial" w:cs="Arial" w:eastAsia="Arial" w:hAnsi="Arial"/>
                <w:color w:val="C9952A"/>
                <w:sz w:val="18"/>
                <w:szCs w:val="18"/>
              </w:rPr>
              <w:t xml:space="preserve">─────────────────────────────</w:t>
            </w:r>
          </w:p>
          <w:p>
            <w:pPr>
              <w:spacing w:after="80" w:before="80"/>
              <w:jc w:val="left"/>
            </w:pPr>
            <w:r>
              <w:rPr>
                <w:rFonts w:ascii="Arial" w:cs="Arial" w:eastAsia="Arial" w:hAnsi="Arial"/>
                <w:b/>
                <w:bCs/>
                <w:color w:val="FFFFFF"/>
                <w:sz w:val="72"/>
                <w:szCs w:val="72"/>
              </w:rPr>
              <w:t xml:space="preserve">DCCB / RFI Digital Banking</w:t>
            </w:r>
          </w:p>
          <w:p>
            <w:pPr>
              <w:spacing w:after="80" w:before="0"/>
              <w:jc w:val="left"/>
            </w:pPr>
            <w:r>
              <w:rPr>
                <w:rFonts w:ascii="Arial" w:cs="Arial" w:eastAsia="Arial" w:hAnsi="Arial"/>
                <w:b/>
                <w:bCs/>
                <w:color w:val="FFFFFF"/>
                <w:sz w:val="72"/>
                <w:szCs w:val="72"/>
              </w:rPr>
              <w:t xml:space="preserve">Product Effectiveness Model</w:t>
            </w:r>
          </w:p>
          <w:p>
            <w:pPr>
              <w:spacing w:after="200" w:before="80"/>
            </w:pPr>
            <w:r>
              <w:rPr>
                <w:rFonts w:ascii="Arial" w:cs="Arial" w:eastAsia="Arial" w:hAnsi="Arial"/>
                <w:color w:val="C9952A"/>
                <w:sz w:val="18"/>
                <w:szCs w:val="18"/>
              </w:rPr>
              <w:t xml:space="preserve">─────────────────────────────</w:t>
            </w:r>
          </w:p>
          <w:p>
            <w:pPr>
              <w:spacing w:after="60" w:before="0"/>
              <w:jc w:val="left"/>
            </w:pPr>
            <w:r>
              <w:rPr>
                <w:rFonts w:ascii="Arial" w:cs="Arial" w:eastAsia="Arial" w:hAnsi="Arial"/>
                <w:b/>
                <w:bCs/>
                <w:color w:val="C9952A"/>
                <w:sz w:val="24"/>
                <w:szCs w:val="24"/>
              </w:rPr>
              <w:t xml:space="preserve">A NABARD-SSPL Advisory Framework for Rural Financial Institution Transformation</w:t>
            </w:r>
          </w:p>
          <w:p>
            <w:pPr>
              <w:spacing w:after="60" w:before="0"/>
              <w:jc w:val="left"/>
            </w:pPr>
            <w:r>
              <w:rPr>
                <w:rFonts w:ascii="Arial" w:cs="Arial" w:eastAsia="Arial" w:hAnsi="Arial"/>
                <w:i/>
                <w:iCs/>
                <w:color w:val="B0C4DE"/>
                <w:sz w:val="20"/>
                <w:szCs w:val="20"/>
              </w:rPr>
              <w:t xml:space="preserve">Generic Model  ·  Product Benchmarking  ·  RFI Category Workflows</w:t>
            </w:r>
          </w:p>
          <w:p>
            <w:pPr>
              <w:spacing w:after="300" w:before="0"/>
              <w:jc w:val="left"/>
            </w:pPr>
            <w:r>
              <w:rPr>
                <w:rFonts w:ascii="Arial" w:cs="Arial" w:eastAsia="Arial" w:hAnsi="Arial"/>
                <w:i/>
                <w:iCs/>
                <w:color w:val="B0C4DE"/>
                <w:sz w:val="20"/>
                <w:szCs w:val="20"/>
              </w:rPr>
              <w:t xml:space="preserve">Region-Wise Digitalization Strategy  ·  Scale-Down Architecture</w:t>
            </w:r>
          </w:p>
          <w:p>
            <w:pPr>
              <w:spacing w:after="60" w:before="0"/>
              <w:jc w:val="left"/>
            </w:pPr>
            <w:r>
              <w:rPr>
                <w:rFonts w:ascii="Arial" w:cs="Arial" w:eastAsia="Arial" w:hAnsi="Arial"/>
                <w:b/>
                <w:bCs/>
                <w:color w:val="14B8B8"/>
                <w:sz w:val="18"/>
                <w:szCs w:val="18"/>
              </w:rPr>
              <w:t xml:space="preserve">Classification: </w:t>
            </w:r>
            <w:r>
              <w:rPr>
                <w:rFonts w:ascii="Arial" w:cs="Arial" w:eastAsia="Arial" w:hAnsi="Arial"/>
                <w:b/>
                <w:bCs/>
                <w:color w:val="FFFFFF"/>
                <w:sz w:val="18"/>
                <w:szCs w:val="18"/>
              </w:rPr>
              <w:t xml:space="preserve">CONFIDENTIAL STRATEGIC DOCUMENT</w:t>
            </w:r>
          </w:p>
          <w:p>
            <w:pPr>
              <w:spacing w:after="60" w:before="0"/>
              <w:jc w:val="left"/>
            </w:pPr>
            <w:r>
              <w:rPr>
                <w:rFonts w:ascii="Arial" w:cs="Arial" w:eastAsia="Arial" w:hAnsi="Arial"/>
                <w:color w:val="B0C4DE"/>
                <w:sz w:val="18"/>
                <w:szCs w:val="18"/>
              </w:rPr>
              <w:t xml:space="preserve">Strategic Period: 2025–2027  |  Prepared for: NABARD / SSPL / DCCB Leadership</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2"/>
        <w:gridCol w:w="1870"/>
        <w:gridCol w:w="1872"/>
      </w:tblGrid>
      <w:tr>
        <w:tc>
          <w:tcPr>
            <w:tcBorders>
              <w:top w:val="none" w:color="FFFFFF" w:sz="0"/>
              <w:left w:val="single" w:color="C9952A" w:sz="4"/>
              <w:bottom w:val="none" w:color="FFFFFF" w:sz="0"/>
              <w:right w:val="none" w:color="FFFFFF" w:sz="0"/>
            </w:tcBorders>
            <w:shd w:fill="0D1E36" w:val="clear"/>
            <w:tcMar>
              <w:top w:type="dxa" w:w="120"/>
              <w:left w:type="dxa" w:w="120"/>
              <w:bottom w:type="dxa" w:w="120"/>
              <w:right w:type="dxa" w:w="120"/>
            </w:tcMar>
          </w:tcPr>
          <w:p>
            <w:pPr>
              <w:jc w:val="center"/>
            </w:pPr>
            <w:r>
              <w:rPr>
                <w:rFonts w:ascii="Arial" w:cs="Arial" w:eastAsia="Arial" w:hAnsi="Arial"/>
                <w:b/>
                <w:bCs/>
                <w:color w:val="14B8B8"/>
                <w:sz w:val="56"/>
                <w:szCs w:val="56"/>
              </w:rPr>
              <w:t xml:space="preserve">70%</w:t>
            </w:r>
          </w:p>
          <w:p>
            <w:pPr>
              <w:jc w:val="center"/>
            </w:pPr>
            <w:r>
              <w:rPr>
                <w:rFonts w:ascii="Arial" w:cs="Arial" w:eastAsia="Arial" w:hAnsi="Arial"/>
                <w:color w:val="FFFFFF"/>
                <w:sz w:val="16"/>
                <w:szCs w:val="16"/>
              </w:rPr>
              <w:t xml:space="preserve">TAT Reduction</w:t>
            </w:r>
          </w:p>
        </w:tc>
        <w:tc>
          <w:tcPr>
            <w:tcBorders>
              <w:top w:val="none" w:color="FFFFFF" w:sz="0"/>
              <w:left w:val="single" w:color="C9952A" w:sz="4"/>
              <w:bottom w:val="none" w:color="FFFFFF" w:sz="0"/>
              <w:right w:val="none" w:color="FFFFFF" w:sz="0"/>
            </w:tcBorders>
            <w:shd w:fill="0D1E36" w:val="clear"/>
            <w:tcMar>
              <w:top w:type="dxa" w:w="120"/>
              <w:left w:type="dxa" w:w="120"/>
              <w:bottom w:type="dxa" w:w="120"/>
              <w:right w:type="dxa" w:w="120"/>
            </w:tcMar>
          </w:tcPr>
          <w:p>
            <w:pPr>
              <w:jc w:val="center"/>
            </w:pPr>
            <w:r>
              <w:rPr>
                <w:rFonts w:ascii="Arial" w:cs="Arial" w:eastAsia="Arial" w:hAnsi="Arial"/>
                <w:b/>
                <w:bCs/>
                <w:color w:val="14B8B8"/>
                <w:sz w:val="56"/>
                <w:szCs w:val="56"/>
              </w:rPr>
              <w:t xml:space="preserve">87%</w:t>
            </w:r>
          </w:p>
          <w:p>
            <w:pPr>
              <w:jc w:val="center"/>
            </w:pPr>
            <w:r>
              <w:rPr>
                <w:rFonts w:ascii="Arial" w:cs="Arial" w:eastAsia="Arial" w:hAnsi="Arial"/>
                <w:color w:val="FFFFFF"/>
                <w:sz w:val="16"/>
                <w:szCs w:val="16"/>
              </w:rPr>
              <w:t xml:space="preserve">Credit Accuracy</w:t>
            </w:r>
          </w:p>
        </w:tc>
        <w:tc>
          <w:tcPr>
            <w:tcBorders>
              <w:top w:val="none" w:color="FFFFFF" w:sz="0"/>
              <w:left w:val="single" w:color="C9952A" w:sz="4"/>
              <w:bottom w:val="none" w:color="FFFFFF" w:sz="0"/>
              <w:right w:val="none" w:color="FFFFFF" w:sz="0"/>
            </w:tcBorders>
            <w:shd w:fill="0D1E36" w:val="clear"/>
            <w:tcMar>
              <w:top w:type="dxa" w:w="120"/>
              <w:left w:type="dxa" w:w="120"/>
              <w:bottom w:type="dxa" w:w="120"/>
              <w:right w:type="dxa" w:w="120"/>
            </w:tcMar>
          </w:tcPr>
          <w:p>
            <w:pPr>
              <w:jc w:val="center"/>
            </w:pPr>
            <w:r>
              <w:rPr>
                <w:rFonts w:ascii="Arial" w:cs="Arial" w:eastAsia="Arial" w:hAnsi="Arial"/>
                <w:b/>
                <w:bCs/>
                <w:color w:val="14B8B8"/>
                <w:sz w:val="56"/>
                <w:szCs w:val="56"/>
              </w:rPr>
              <w:t xml:space="preserve">57%</w:t>
            </w:r>
          </w:p>
          <w:p>
            <w:pPr>
              <w:jc w:val="center"/>
            </w:pPr>
            <w:r>
              <w:rPr>
                <w:rFonts w:ascii="Arial" w:cs="Arial" w:eastAsia="Arial" w:hAnsi="Arial"/>
                <w:color w:val="FFFFFF"/>
                <w:sz w:val="16"/>
                <w:szCs w:val="16"/>
              </w:rPr>
              <w:t xml:space="preserve">Compliance Saving</w:t>
            </w:r>
          </w:p>
        </w:tc>
        <w:tc>
          <w:tcPr>
            <w:tcBorders>
              <w:top w:val="none" w:color="FFFFFF" w:sz="0"/>
              <w:left w:val="single" w:color="C9952A" w:sz="4"/>
              <w:bottom w:val="none" w:color="FFFFFF" w:sz="0"/>
              <w:right w:val="none" w:color="FFFFFF" w:sz="0"/>
            </w:tcBorders>
            <w:shd w:fill="0D1E36" w:val="clear"/>
            <w:tcMar>
              <w:top w:type="dxa" w:w="120"/>
              <w:left w:type="dxa" w:w="120"/>
              <w:bottom w:type="dxa" w:w="120"/>
              <w:right w:type="dxa" w:w="120"/>
            </w:tcMar>
          </w:tcPr>
          <w:p>
            <w:pPr>
              <w:jc w:val="center"/>
            </w:pPr>
            <w:r>
              <w:rPr>
                <w:rFonts w:ascii="Arial" w:cs="Arial" w:eastAsia="Arial" w:hAnsi="Arial"/>
                <w:b/>
                <w:bCs/>
                <w:color w:val="14B8B8"/>
                <w:sz w:val="56"/>
                <w:szCs w:val="56"/>
              </w:rPr>
              <w:t xml:space="preserve">25%</w:t>
            </w:r>
          </w:p>
          <w:p>
            <w:pPr>
              <w:jc w:val="center"/>
            </w:pPr>
            <w:r>
              <w:rPr>
                <w:rFonts w:ascii="Arial" w:cs="Arial" w:eastAsia="Arial" w:hAnsi="Arial"/>
                <w:color w:val="FFFFFF"/>
                <w:sz w:val="16"/>
                <w:szCs w:val="16"/>
              </w:rPr>
              <w:t xml:space="preserve">NPA Reduction</w:t>
            </w:r>
          </w:p>
        </w:tc>
        <w:tc>
          <w:tcPr>
            <w:tcBorders>
              <w:top w:val="none" w:color="FFFFFF" w:sz="0"/>
              <w:left w:val="single" w:color="C9952A" w:sz="4"/>
              <w:bottom w:val="none" w:color="FFFFFF" w:sz="0"/>
              <w:right w:val="none" w:color="FFFFFF" w:sz="0"/>
            </w:tcBorders>
            <w:shd w:fill="0D1E36" w:val="clear"/>
            <w:tcMar>
              <w:top w:type="dxa" w:w="120"/>
              <w:left w:type="dxa" w:w="120"/>
              <w:bottom w:type="dxa" w:w="120"/>
              <w:right w:type="dxa" w:w="120"/>
            </w:tcMar>
          </w:tcPr>
          <w:p>
            <w:pPr>
              <w:jc w:val="center"/>
            </w:pPr>
            <w:r>
              <w:rPr>
                <w:rFonts w:ascii="Arial" w:cs="Arial" w:eastAsia="Arial" w:hAnsi="Arial"/>
                <w:b/>
                <w:bCs/>
                <w:color w:val="14B8B8"/>
                <w:sz w:val="56"/>
                <w:szCs w:val="56"/>
              </w:rPr>
              <w:t xml:space="preserve">18%</w:t>
            </w:r>
          </w:p>
          <w:p>
            <w:pPr>
              <w:jc w:val="center"/>
            </w:pPr>
            <w:r>
              <w:rPr>
                <w:rFonts w:ascii="Arial" w:cs="Arial" w:eastAsia="Arial" w:hAnsi="Arial"/>
                <w:color w:val="FFFFFF"/>
                <w:sz w:val="16"/>
                <w:szCs w:val="16"/>
              </w:rPr>
              <w:t xml:space="preserve">Credit Inclusion Gain</w:t>
            </w:r>
          </w:p>
        </w:tc>
      </w:tr>
    </w:tbl>
    <w:p>
      <w:pPr>
        <w:spacing w:after="80" w:before="80"/>
      </w:pPr>
      <w:r>
        <w:t xml:space="preserve"/>
      </w:r>
    </w:p>
    <w:p>
      <w:pPr>
        <w:spacing w:after="60" w:before="60"/>
        <w:jc w:val="center"/>
      </w:pPr>
      <w:r>
        <w:rPr>
          <w:rFonts w:ascii="Arial" w:cs="Arial" w:eastAsia="Arial" w:hAnsi="Arial"/>
          <w:b/>
          <w:bCs/>
          <w:i/>
          <w:iCs/>
          <w:color w:val="0E8A8A"/>
          <w:sz w:val="24"/>
          <w:szCs w:val="24"/>
        </w:rPr>
        <w:t xml:space="preserve">Sahakar Se Samridhi — Prosperity through Cooperation</w:t>
      </w:r>
    </w:p>
    <w:p>
      <w:r>
        <w:br w:type="page"/>
      </w:r>
    </w:p>
    <w:p>
      <w:pPr>
        <w:pStyle w:val="Heading1"/>
        <w:pBdr>
          <w:bottom w:val="single" w:color="0E8A8A" w:sz="8" w:space="4"/>
        </w:pBdr>
        <w:spacing w:after="160" w:before="340"/>
      </w:pPr>
      <w:r>
        <w:rPr>
          <w:rFonts w:ascii="Arial" w:cs="Arial" w:eastAsia="Arial" w:hAnsi="Arial"/>
          <w:b/>
          <w:bCs/>
          <w:color w:val="0A1628"/>
          <w:sz w:val="40"/>
          <w:szCs w:val="40"/>
        </w:rPr>
        <w:t xml:space="preserve">Table of Contents</w:t>
      </w:r>
    </w:p>
    <w:p>
      <w:pPr>
        <w:tabs>
          <w:tab w:val="right" w:pos="9354" w:leader="9026"/>
        </w:tabs>
        <w:spacing w:after="40" w:before="40"/>
      </w:pPr>
      <w:r>
        <w:rPr>
          <w:rFonts w:ascii="Arial" w:cs="Arial" w:eastAsia="Arial" w:hAnsi="Arial"/>
          <w:b/>
          <w:bCs/>
          <w:color w:val="0A1628"/>
          <w:sz w:val="22"/>
          <w:szCs w:val="22"/>
        </w:rPr>
        <w:t xml:space="preserve">PART I</w:t>
      </w:r>
      <w:r>
        <w:rPr>
          <w:rFonts w:ascii="Arial" w:cs="Arial" w:eastAsia="Arial" w:hAnsi="Arial"/>
          <w:b/>
          <w:bCs/>
          <w:color w:val="0A1628"/>
          <w:sz w:val="22"/>
          <w:szCs w:val="22"/>
        </w:rPr>
        <w:t xml:space="preserve">  Foundations and Framework Architecture</w:t>
      </w:r>
    </w:p>
    <w:p>
      <w:pPr>
        <w:tabs>
          <w:tab w:val="right" w:pos="9354" w:leader="9026"/>
        </w:tabs>
        <w:spacing w:after="40" w:before="40"/>
      </w:pPr>
      <w:r>
        <w:rPr>
          <w:rFonts w:ascii="Arial" w:cs="Arial" w:eastAsia="Arial" w:hAnsi="Arial"/>
          <w:b/>
          <w:bCs/>
          <w:color w:val="0E8A8A"/>
          <w:sz w:val="20"/>
          <w:szCs w:val="20"/>
        </w:rPr>
        <w:t xml:space="preserve">Section 1</w:t>
      </w:r>
      <w:r>
        <w:rPr>
          <w:rFonts w:ascii="Arial" w:cs="Arial" w:eastAsia="Arial" w:hAnsi="Arial"/>
          <w:b w:val="false"/>
          <w:bCs w:val="false"/>
          <w:color w:val="1A1A2E"/>
          <w:sz w:val="20"/>
          <w:szCs w:val="20"/>
        </w:rPr>
        <w:t xml:space="preserve">  The Generic Bank Product Effectiveness Model (GBPEM)</w:t>
      </w:r>
    </w:p>
    <w:p>
      <w:pPr>
        <w:tabs>
          <w:tab w:val="right" w:pos="9354" w:leader="9026"/>
        </w:tabs>
        <w:spacing w:after="40" w:before="40"/>
      </w:pPr>
      <w:r>
        <w:rPr>
          <w:rFonts w:ascii="Arial" w:cs="Arial" w:eastAsia="Arial" w:hAnsi="Arial"/>
          <w:b w:val="false"/>
          <w:bCs w:val="false"/>
          <w:color w:val="1A1A2E"/>
          <w:sz w:val="20"/>
          <w:szCs w:val="20"/>
        </w:rPr>
        <w:t xml:space="preserve">    1.1</w:t>
      </w:r>
      <w:r>
        <w:rPr>
          <w:rFonts w:ascii="Arial" w:cs="Arial" w:eastAsia="Arial" w:hAnsi="Arial"/>
          <w:b w:val="false"/>
          <w:bCs w:val="false"/>
          <w:color w:val="1A1A2E"/>
          <w:sz w:val="20"/>
          <w:szCs w:val="20"/>
        </w:rPr>
        <w:t xml:space="preserve">  Model Philosophy and Purpose</w:t>
      </w:r>
    </w:p>
    <w:p>
      <w:pPr>
        <w:tabs>
          <w:tab w:val="right" w:pos="9354" w:leader="9026"/>
        </w:tabs>
        <w:spacing w:after="40" w:before="40"/>
      </w:pPr>
      <w:r>
        <w:rPr>
          <w:rFonts w:ascii="Arial" w:cs="Arial" w:eastAsia="Arial" w:hAnsi="Arial"/>
          <w:b w:val="false"/>
          <w:bCs w:val="false"/>
          <w:color w:val="1A1A2E"/>
          <w:sz w:val="20"/>
          <w:szCs w:val="20"/>
        </w:rPr>
        <w:t xml:space="preserve">    1.2</w:t>
      </w:r>
      <w:r>
        <w:rPr>
          <w:rFonts w:ascii="Arial" w:cs="Arial" w:eastAsia="Arial" w:hAnsi="Arial"/>
          <w:b w:val="false"/>
          <w:bCs w:val="false"/>
          <w:color w:val="1A1A2E"/>
          <w:sz w:val="20"/>
          <w:szCs w:val="20"/>
        </w:rPr>
        <w:t xml:space="preserve">  The 5-Dimensional Scoring Matrix</w:t>
      </w:r>
    </w:p>
    <w:p>
      <w:pPr>
        <w:tabs>
          <w:tab w:val="right" w:pos="9354" w:leader="9026"/>
        </w:tabs>
        <w:spacing w:after="40" w:before="40"/>
      </w:pPr>
      <w:r>
        <w:rPr>
          <w:rFonts w:ascii="Arial" w:cs="Arial" w:eastAsia="Arial" w:hAnsi="Arial"/>
          <w:b w:val="false"/>
          <w:bCs w:val="false"/>
          <w:color w:val="1A1A2E"/>
          <w:sz w:val="20"/>
          <w:szCs w:val="20"/>
        </w:rPr>
        <w:t xml:space="preserve">    1.3</w:t>
      </w:r>
      <w:r>
        <w:rPr>
          <w:rFonts w:ascii="Arial" w:cs="Arial" w:eastAsia="Arial" w:hAnsi="Arial"/>
          <w:b w:val="false"/>
          <w:bCs w:val="false"/>
          <w:color w:val="1A1A2E"/>
          <w:sz w:val="20"/>
          <w:szCs w:val="20"/>
        </w:rPr>
        <w:t xml:space="preserve">  How SSPL Uses the GBPEM</w:t>
      </w:r>
    </w:p>
    <w:p>
      <w:pPr>
        <w:tabs>
          <w:tab w:val="right" w:pos="9354" w:leader="9026"/>
        </w:tabs>
        <w:spacing w:after="40" w:before="40"/>
      </w:pPr>
      <w:r>
        <w:rPr>
          <w:rFonts w:ascii="Arial" w:cs="Arial" w:eastAsia="Arial" w:hAnsi="Arial"/>
          <w:b/>
          <w:bCs/>
          <w:color w:val="0E8A8A"/>
          <w:sz w:val="20"/>
          <w:szCs w:val="20"/>
        </w:rPr>
        <w:t xml:space="preserve">Section 2</w:t>
      </w:r>
      <w:r>
        <w:rPr>
          <w:rFonts w:ascii="Arial" w:cs="Arial" w:eastAsia="Arial" w:hAnsi="Arial"/>
          <w:b w:val="false"/>
          <w:bCs w:val="false"/>
          <w:color w:val="1A1A2E"/>
          <w:sz w:val="20"/>
          <w:szCs w:val="20"/>
        </w:rPr>
        <w:t xml:space="preserve">  The Three-Category RFI Classification Framework</w:t>
      </w:r>
    </w:p>
    <w:p>
      <w:pPr>
        <w:tabs>
          <w:tab w:val="right" w:pos="9354" w:leader="9026"/>
        </w:tabs>
        <w:spacing w:after="40" w:before="40"/>
      </w:pPr>
      <w:r>
        <w:rPr>
          <w:rFonts w:ascii="Arial" w:cs="Arial" w:eastAsia="Arial" w:hAnsi="Arial"/>
          <w:b w:val="false"/>
          <w:bCs w:val="false"/>
          <w:color w:val="1A1A2E"/>
          <w:sz w:val="20"/>
          <w:szCs w:val="20"/>
        </w:rPr>
        <w:t xml:space="preserve">    2.1</w:t>
      </w:r>
      <w:r>
        <w:rPr>
          <w:rFonts w:ascii="Arial" w:cs="Arial" w:eastAsia="Arial" w:hAnsi="Arial"/>
          <w:b w:val="false"/>
          <w:bCs w:val="false"/>
          <w:color w:val="1A1A2E"/>
          <w:sz w:val="20"/>
          <w:szCs w:val="20"/>
        </w:rPr>
        <w:t xml:space="preserve">  Category 1: Digitally Mature RFI (DM-RFI)</w:t>
      </w:r>
    </w:p>
    <w:p>
      <w:pPr>
        <w:tabs>
          <w:tab w:val="right" w:pos="9354" w:leader="9026"/>
        </w:tabs>
        <w:spacing w:after="40" w:before="40"/>
      </w:pPr>
      <w:r>
        <w:rPr>
          <w:rFonts w:ascii="Arial" w:cs="Arial" w:eastAsia="Arial" w:hAnsi="Arial"/>
          <w:b w:val="false"/>
          <w:bCs w:val="false"/>
          <w:color w:val="1A1A2E"/>
          <w:sz w:val="20"/>
          <w:szCs w:val="20"/>
        </w:rPr>
        <w:t xml:space="preserve">    2.2</w:t>
      </w:r>
      <w:r>
        <w:rPr>
          <w:rFonts w:ascii="Arial" w:cs="Arial" w:eastAsia="Arial" w:hAnsi="Arial"/>
          <w:b w:val="false"/>
          <w:bCs w:val="false"/>
          <w:color w:val="1A1A2E"/>
          <w:sz w:val="20"/>
          <w:szCs w:val="20"/>
        </w:rPr>
        <w:t xml:space="preserve">  Category 2: Partially Digitalized RFI (PD-RFI)</w:t>
      </w:r>
    </w:p>
    <w:p>
      <w:pPr>
        <w:tabs>
          <w:tab w:val="right" w:pos="9354" w:leader="9026"/>
        </w:tabs>
        <w:spacing w:after="40" w:before="40"/>
      </w:pPr>
      <w:r>
        <w:rPr>
          <w:rFonts w:ascii="Arial" w:cs="Arial" w:eastAsia="Arial" w:hAnsi="Arial"/>
          <w:b w:val="false"/>
          <w:bCs w:val="false"/>
          <w:color w:val="1A1A2E"/>
          <w:sz w:val="20"/>
          <w:szCs w:val="20"/>
        </w:rPr>
        <w:t xml:space="preserve">    2.3</w:t>
      </w:r>
      <w:r>
        <w:rPr>
          <w:rFonts w:ascii="Arial" w:cs="Arial" w:eastAsia="Arial" w:hAnsi="Arial"/>
          <w:b w:val="false"/>
          <w:bCs w:val="false"/>
          <w:color w:val="1A1A2E"/>
          <w:sz w:val="20"/>
          <w:szCs w:val="20"/>
        </w:rPr>
        <w:t xml:space="preserve">  Category 3: Pre-Digital / Digitalization Commencing (PDC-RFI)</w:t>
      </w:r>
    </w:p>
    <w:p>
      <w:pPr>
        <w:tabs>
          <w:tab w:val="right" w:pos="9354" w:leader="9026"/>
        </w:tabs>
        <w:spacing w:after="40" w:before="40"/>
      </w:pPr>
      <w:r>
        <w:rPr>
          <w:rFonts w:ascii="Arial" w:cs="Arial" w:eastAsia="Arial" w:hAnsi="Arial"/>
          <w:b/>
          <w:bCs/>
          <w:color w:val="0A1628"/>
          <w:sz w:val="22"/>
          <w:szCs w:val="22"/>
        </w:rPr>
        <w:t xml:space="preserve">PART II</w:t>
      </w:r>
      <w:r>
        <w:rPr>
          <w:rFonts w:ascii="Arial" w:cs="Arial" w:eastAsia="Arial" w:hAnsi="Arial"/>
          <w:b/>
          <w:bCs/>
          <w:color w:val="0A1628"/>
          <w:sz w:val="22"/>
          <w:szCs w:val="22"/>
        </w:rPr>
        <w:t xml:space="preserve">  Large Bank Product Catalogue and DCCB Applicability</w:t>
      </w:r>
    </w:p>
    <w:p>
      <w:pPr>
        <w:tabs>
          <w:tab w:val="right" w:pos="9354" w:leader="9026"/>
        </w:tabs>
        <w:spacing w:after="40" w:before="40"/>
      </w:pPr>
      <w:r>
        <w:rPr>
          <w:rFonts w:ascii="Arial" w:cs="Arial" w:eastAsia="Arial" w:hAnsi="Arial"/>
          <w:b/>
          <w:bCs/>
          <w:color w:val="0E8A8A"/>
          <w:sz w:val="20"/>
          <w:szCs w:val="20"/>
        </w:rPr>
        <w:t xml:space="preserve">Section 3A</w:t>
      </w:r>
      <w:r>
        <w:rPr>
          <w:rFonts w:ascii="Arial" w:cs="Arial" w:eastAsia="Arial" w:hAnsi="Arial"/>
          <w:b w:val="false"/>
          <w:bCs w:val="false"/>
          <w:color w:val="1A1A2E"/>
          <w:sz w:val="20"/>
          <w:szCs w:val="20"/>
        </w:rPr>
        <w:t xml:space="preserve">  Customer-Facing Digital Banking Products (Products 1–10)</w:t>
      </w:r>
    </w:p>
    <w:p>
      <w:pPr>
        <w:tabs>
          <w:tab w:val="right" w:pos="9354" w:leader="9026"/>
        </w:tabs>
        <w:spacing w:after="40" w:before="40"/>
      </w:pPr>
      <w:r>
        <w:rPr>
          <w:rFonts w:ascii="Arial" w:cs="Arial" w:eastAsia="Arial" w:hAnsi="Arial"/>
          <w:b w:val="false"/>
          <w:bCs w:val="false"/>
          <w:color w:val="1A1A2E"/>
          <w:sz w:val="20"/>
          <w:szCs w:val="20"/>
        </w:rPr>
        <w:t xml:space="preserve">    Product 1</w:t>
      </w:r>
      <w:r>
        <w:rPr>
          <w:rFonts w:ascii="Arial" w:cs="Arial" w:eastAsia="Arial" w:hAnsi="Arial"/>
          <w:b w:val="false"/>
          <w:bCs w:val="false"/>
          <w:color w:val="1A1A2E"/>
          <w:sz w:val="20"/>
          <w:szCs w:val="20"/>
        </w:rPr>
        <w:t xml:space="preserve">  Mobile Banking Application</w:t>
      </w:r>
    </w:p>
    <w:p>
      <w:pPr>
        <w:tabs>
          <w:tab w:val="right" w:pos="9354" w:leader="9026"/>
        </w:tabs>
        <w:spacing w:after="40" w:before="40"/>
      </w:pPr>
      <w:r>
        <w:rPr>
          <w:rFonts w:ascii="Arial" w:cs="Arial" w:eastAsia="Arial" w:hAnsi="Arial"/>
          <w:b w:val="false"/>
          <w:bCs w:val="false"/>
          <w:color w:val="1A1A2E"/>
          <w:sz w:val="20"/>
          <w:szCs w:val="20"/>
        </w:rPr>
        <w:t xml:space="preserve">    Product 2</w:t>
      </w:r>
      <w:r>
        <w:rPr>
          <w:rFonts w:ascii="Arial" w:cs="Arial" w:eastAsia="Arial" w:hAnsi="Arial"/>
          <w:b w:val="false"/>
          <w:bCs w:val="false"/>
          <w:color w:val="1A1A2E"/>
          <w:sz w:val="20"/>
          <w:szCs w:val="20"/>
        </w:rPr>
        <w:t xml:space="preserve">  Internet Banking / Net Banking Portal</w:t>
      </w:r>
    </w:p>
    <w:p>
      <w:pPr>
        <w:tabs>
          <w:tab w:val="right" w:pos="9354" w:leader="9026"/>
        </w:tabs>
        <w:spacing w:after="40" w:before="40"/>
      </w:pPr>
      <w:r>
        <w:rPr>
          <w:rFonts w:ascii="Arial" w:cs="Arial" w:eastAsia="Arial" w:hAnsi="Arial"/>
          <w:b w:val="false"/>
          <w:bCs w:val="false"/>
          <w:color w:val="1A1A2E"/>
          <w:sz w:val="20"/>
          <w:szCs w:val="20"/>
        </w:rPr>
        <w:t xml:space="preserve">    Product 3</w:t>
      </w:r>
      <w:r>
        <w:rPr>
          <w:rFonts w:ascii="Arial" w:cs="Arial" w:eastAsia="Arial" w:hAnsi="Arial"/>
          <w:b w:val="false"/>
          <w:bCs w:val="false"/>
          <w:color w:val="1A1A2E"/>
          <w:sz w:val="20"/>
          <w:szCs w:val="20"/>
        </w:rPr>
        <w:t xml:space="preserve">  UPI / Digital Payments Ecosystem</w:t>
      </w:r>
    </w:p>
    <w:p>
      <w:pPr>
        <w:tabs>
          <w:tab w:val="right" w:pos="9354" w:leader="9026"/>
        </w:tabs>
        <w:spacing w:after="40" w:before="40"/>
      </w:pPr>
      <w:r>
        <w:rPr>
          <w:rFonts w:ascii="Arial" w:cs="Arial" w:eastAsia="Arial" w:hAnsi="Arial"/>
          <w:b w:val="false"/>
          <w:bCs w:val="false"/>
          <w:color w:val="1A1A2E"/>
          <w:sz w:val="20"/>
          <w:szCs w:val="20"/>
        </w:rPr>
        <w:t xml:space="preserve">    Product 4</w:t>
      </w:r>
      <w:r>
        <w:rPr>
          <w:rFonts w:ascii="Arial" w:cs="Arial" w:eastAsia="Arial" w:hAnsi="Arial"/>
          <w:b w:val="false"/>
          <w:bCs w:val="false"/>
          <w:color w:val="1A1A2E"/>
          <w:sz w:val="20"/>
          <w:szCs w:val="20"/>
        </w:rPr>
        <w:t xml:space="preserve">  Digital Account Opening / Video KYC (V-CIP)</w:t>
      </w:r>
    </w:p>
    <w:p>
      <w:pPr>
        <w:tabs>
          <w:tab w:val="right" w:pos="9354" w:leader="9026"/>
        </w:tabs>
        <w:spacing w:after="40" w:before="40"/>
      </w:pPr>
      <w:r>
        <w:rPr>
          <w:rFonts w:ascii="Arial" w:cs="Arial" w:eastAsia="Arial" w:hAnsi="Arial"/>
          <w:b w:val="false"/>
          <w:bCs w:val="false"/>
          <w:color w:val="1A1A2E"/>
          <w:sz w:val="20"/>
          <w:szCs w:val="20"/>
        </w:rPr>
        <w:t xml:space="preserve">    Product 5</w:t>
      </w:r>
      <w:r>
        <w:rPr>
          <w:rFonts w:ascii="Arial" w:cs="Arial" w:eastAsia="Arial" w:hAnsi="Arial"/>
          <w:b w:val="false"/>
          <w:bCs w:val="false"/>
          <w:color w:val="1A1A2E"/>
          <w:sz w:val="20"/>
          <w:szCs w:val="20"/>
        </w:rPr>
        <w:t xml:space="preserve">  Digital Loan Origination System (LOS) for KCC and Agri Loans</w:t>
      </w:r>
    </w:p>
    <w:p>
      <w:pPr>
        <w:tabs>
          <w:tab w:val="right" w:pos="9354" w:leader="9026"/>
        </w:tabs>
        <w:spacing w:after="40" w:before="40"/>
      </w:pPr>
      <w:r>
        <w:rPr>
          <w:rFonts w:ascii="Arial" w:cs="Arial" w:eastAsia="Arial" w:hAnsi="Arial"/>
          <w:b w:val="false"/>
          <w:bCs w:val="false"/>
          <w:color w:val="1A1A2E"/>
          <w:sz w:val="20"/>
          <w:szCs w:val="20"/>
        </w:rPr>
        <w:t xml:space="preserve">    Product 6</w:t>
      </w:r>
      <w:r>
        <w:rPr>
          <w:rFonts w:ascii="Arial" w:cs="Arial" w:eastAsia="Arial" w:hAnsi="Arial"/>
          <w:b w:val="false"/>
          <w:bCs w:val="false"/>
          <w:color w:val="1A1A2E"/>
          <w:sz w:val="20"/>
          <w:szCs w:val="20"/>
        </w:rPr>
        <w:t xml:space="preserve">  ATM / Micro-ATM / AePS Cash-Out Network</w:t>
      </w:r>
    </w:p>
    <w:p>
      <w:pPr>
        <w:tabs>
          <w:tab w:val="right" w:pos="9354" w:leader="9026"/>
        </w:tabs>
        <w:spacing w:after="40" w:before="40"/>
      </w:pPr>
      <w:r>
        <w:rPr>
          <w:rFonts w:ascii="Arial" w:cs="Arial" w:eastAsia="Arial" w:hAnsi="Arial"/>
          <w:b w:val="false"/>
          <w:bCs w:val="false"/>
          <w:color w:val="1A1A2E"/>
          <w:sz w:val="20"/>
          <w:szCs w:val="20"/>
        </w:rPr>
        <w:t xml:space="preserve">    Product 7</w:t>
      </w:r>
      <w:r>
        <w:rPr>
          <w:rFonts w:ascii="Arial" w:cs="Arial" w:eastAsia="Arial" w:hAnsi="Arial"/>
          <w:b w:val="false"/>
          <w:bCs w:val="false"/>
          <w:color w:val="1A1A2E"/>
          <w:sz w:val="20"/>
          <w:szCs w:val="20"/>
        </w:rPr>
        <w:t xml:space="preserve">  Insurance and Investment Product Distribution</w:t>
      </w:r>
    </w:p>
    <w:p>
      <w:pPr>
        <w:tabs>
          <w:tab w:val="right" w:pos="9354" w:leader="9026"/>
        </w:tabs>
        <w:spacing w:after="40" w:before="40"/>
      </w:pPr>
      <w:r>
        <w:rPr>
          <w:rFonts w:ascii="Arial" w:cs="Arial" w:eastAsia="Arial" w:hAnsi="Arial"/>
          <w:b w:val="false"/>
          <w:bCs w:val="false"/>
          <w:color w:val="1A1A2E"/>
          <w:sz w:val="20"/>
          <w:szCs w:val="20"/>
        </w:rPr>
        <w:t xml:space="preserve">    Product 8</w:t>
      </w:r>
      <w:r>
        <w:rPr>
          <w:rFonts w:ascii="Arial" w:cs="Arial" w:eastAsia="Arial" w:hAnsi="Arial"/>
          <w:b w:val="false"/>
          <w:bCs w:val="false"/>
          <w:color w:val="1A1A2E"/>
          <w:sz w:val="20"/>
          <w:szCs w:val="20"/>
        </w:rPr>
        <w:t xml:space="preserve">  Bharat Bill Payment System (BBPS)</w:t>
      </w:r>
    </w:p>
    <w:p>
      <w:pPr>
        <w:tabs>
          <w:tab w:val="right" w:pos="9354" w:leader="9026"/>
        </w:tabs>
        <w:spacing w:after="40" w:before="40"/>
      </w:pPr>
      <w:r>
        <w:rPr>
          <w:rFonts w:ascii="Arial" w:cs="Arial" w:eastAsia="Arial" w:hAnsi="Arial"/>
          <w:b w:val="false"/>
          <w:bCs w:val="false"/>
          <w:color w:val="1A1A2E"/>
          <w:sz w:val="20"/>
          <w:szCs w:val="20"/>
        </w:rPr>
        <w:t xml:space="preserve">    Product 9</w:t>
      </w:r>
      <w:r>
        <w:rPr>
          <w:rFonts w:ascii="Arial" w:cs="Arial" w:eastAsia="Arial" w:hAnsi="Arial"/>
          <w:b w:val="false"/>
          <w:bCs w:val="false"/>
          <w:color w:val="1A1A2E"/>
          <w:sz w:val="20"/>
          <w:szCs w:val="20"/>
        </w:rPr>
        <w:t xml:space="preserve">  RuPay Debit Card and POS / mPOS Network</w:t>
      </w:r>
    </w:p>
    <w:p>
      <w:pPr>
        <w:tabs>
          <w:tab w:val="right" w:pos="9354" w:leader="9026"/>
        </w:tabs>
        <w:spacing w:after="40" w:before="40"/>
      </w:pPr>
      <w:r>
        <w:rPr>
          <w:rFonts w:ascii="Arial" w:cs="Arial" w:eastAsia="Arial" w:hAnsi="Arial"/>
          <w:b w:val="false"/>
          <w:bCs w:val="false"/>
          <w:color w:val="1A1A2E"/>
          <w:sz w:val="20"/>
          <w:szCs w:val="20"/>
        </w:rPr>
        <w:t xml:space="preserve">    Product 10</w:t>
      </w:r>
      <w:r>
        <w:rPr>
          <w:rFonts w:ascii="Arial" w:cs="Arial" w:eastAsia="Arial" w:hAnsi="Arial"/>
          <w:b w:val="false"/>
          <w:bCs w:val="false"/>
          <w:color w:val="1A1A2E"/>
          <w:sz w:val="20"/>
          <w:szCs w:val="20"/>
        </w:rPr>
        <w:t xml:space="preserve">  WhatsApp Banking / IVR / AI Chatbot</w:t>
      </w:r>
    </w:p>
    <w:p>
      <w:pPr>
        <w:tabs>
          <w:tab w:val="right" w:pos="9354" w:leader="9026"/>
        </w:tabs>
        <w:spacing w:after="40" w:before="40"/>
      </w:pPr>
      <w:r>
        <w:rPr>
          <w:rFonts w:ascii="Arial" w:cs="Arial" w:eastAsia="Arial" w:hAnsi="Arial"/>
          <w:b/>
          <w:bCs/>
          <w:color w:val="0E8A8A"/>
          <w:sz w:val="20"/>
          <w:szCs w:val="20"/>
        </w:rPr>
        <w:t xml:space="preserve">Section 3B</w:t>
      </w:r>
      <w:r>
        <w:rPr>
          <w:rFonts w:ascii="Arial" w:cs="Arial" w:eastAsia="Arial" w:hAnsi="Arial"/>
          <w:b w:val="false"/>
          <w:bCs w:val="false"/>
          <w:color w:val="1A1A2E"/>
          <w:sz w:val="20"/>
          <w:szCs w:val="20"/>
        </w:rPr>
        <w:t xml:space="preserve">  Internal Bank Operations Products (Products 11–20)</w:t>
      </w:r>
    </w:p>
    <w:p>
      <w:pPr>
        <w:tabs>
          <w:tab w:val="right" w:pos="9354" w:leader="9026"/>
        </w:tabs>
        <w:spacing w:after="40" w:before="40"/>
      </w:pPr>
      <w:r>
        <w:rPr>
          <w:rFonts w:ascii="Arial" w:cs="Arial" w:eastAsia="Arial" w:hAnsi="Arial"/>
          <w:b w:val="false"/>
          <w:bCs w:val="false"/>
          <w:color w:val="1A1A2E"/>
          <w:sz w:val="20"/>
          <w:szCs w:val="20"/>
        </w:rPr>
        <w:t xml:space="preserve">    Product 11</w:t>
      </w:r>
      <w:r>
        <w:rPr>
          <w:rFonts w:ascii="Arial" w:cs="Arial" w:eastAsia="Arial" w:hAnsi="Arial"/>
          <w:b w:val="false"/>
          <w:bCs w:val="false"/>
          <w:color w:val="1A1A2E"/>
          <w:sz w:val="20"/>
          <w:szCs w:val="20"/>
        </w:rPr>
        <w:t xml:space="preserve">  Core Banking Solution (CBS) — Foundation Layer</w:t>
      </w:r>
    </w:p>
    <w:p>
      <w:pPr>
        <w:tabs>
          <w:tab w:val="right" w:pos="9354" w:leader="9026"/>
        </w:tabs>
        <w:spacing w:after="40" w:before="40"/>
      </w:pPr>
      <w:r>
        <w:rPr>
          <w:rFonts w:ascii="Arial" w:cs="Arial" w:eastAsia="Arial" w:hAnsi="Arial"/>
          <w:b w:val="false"/>
          <w:bCs w:val="false"/>
          <w:color w:val="1A1A2E"/>
          <w:sz w:val="20"/>
          <w:szCs w:val="20"/>
        </w:rPr>
        <w:t xml:space="preserve">    Product 12</w:t>
      </w:r>
      <w:r>
        <w:rPr>
          <w:rFonts w:ascii="Arial" w:cs="Arial" w:eastAsia="Arial" w:hAnsi="Arial"/>
          <w:b w:val="false"/>
          <w:bCs w:val="false"/>
          <w:color w:val="1A1A2E"/>
          <w:sz w:val="20"/>
          <w:szCs w:val="20"/>
        </w:rPr>
        <w:t xml:space="preserve">  MIS / Analytics Dashboard</w:t>
      </w:r>
    </w:p>
    <w:p>
      <w:pPr>
        <w:tabs>
          <w:tab w:val="right" w:pos="9354" w:leader="9026"/>
        </w:tabs>
        <w:spacing w:after="40" w:before="40"/>
      </w:pPr>
      <w:r>
        <w:rPr>
          <w:rFonts w:ascii="Arial" w:cs="Arial" w:eastAsia="Arial" w:hAnsi="Arial"/>
          <w:b w:val="false"/>
          <w:bCs w:val="false"/>
          <w:color w:val="1A1A2E"/>
          <w:sz w:val="20"/>
          <w:szCs w:val="20"/>
        </w:rPr>
        <w:t xml:space="preserve">    Product 13</w:t>
      </w:r>
      <w:r>
        <w:rPr>
          <w:rFonts w:ascii="Arial" w:cs="Arial" w:eastAsia="Arial" w:hAnsi="Arial"/>
          <w:b w:val="false"/>
          <w:bCs w:val="false"/>
          <w:color w:val="1A1A2E"/>
          <w:sz w:val="20"/>
          <w:szCs w:val="20"/>
        </w:rPr>
        <w:t xml:space="preserve">  Regulatory Compliance and Reporting Engine</w:t>
      </w:r>
    </w:p>
    <w:p>
      <w:pPr>
        <w:tabs>
          <w:tab w:val="right" w:pos="9354" w:leader="9026"/>
        </w:tabs>
        <w:spacing w:after="40" w:before="40"/>
      </w:pPr>
      <w:r>
        <w:rPr>
          <w:rFonts w:ascii="Arial" w:cs="Arial" w:eastAsia="Arial" w:hAnsi="Arial"/>
          <w:b w:val="false"/>
          <w:bCs w:val="false"/>
          <w:color w:val="1A1A2E"/>
          <w:sz w:val="20"/>
          <w:szCs w:val="20"/>
        </w:rPr>
        <w:t xml:space="preserve">    Product 14</w:t>
      </w:r>
      <w:r>
        <w:rPr>
          <w:rFonts w:ascii="Arial" w:cs="Arial" w:eastAsia="Arial" w:hAnsi="Arial"/>
          <w:b w:val="false"/>
          <w:bCs w:val="false"/>
          <w:color w:val="1A1A2E"/>
          <w:sz w:val="20"/>
          <w:szCs w:val="20"/>
        </w:rPr>
        <w:t xml:space="preserve">  NPA Early Warning System (EWS)</w:t>
      </w:r>
    </w:p>
    <w:p>
      <w:pPr>
        <w:tabs>
          <w:tab w:val="right" w:pos="9354" w:leader="9026"/>
        </w:tabs>
        <w:spacing w:after="40" w:before="40"/>
      </w:pPr>
      <w:r>
        <w:rPr>
          <w:rFonts w:ascii="Arial" w:cs="Arial" w:eastAsia="Arial" w:hAnsi="Arial"/>
          <w:b w:val="false"/>
          <w:bCs w:val="false"/>
          <w:color w:val="1A1A2E"/>
          <w:sz w:val="20"/>
          <w:szCs w:val="20"/>
        </w:rPr>
        <w:t xml:space="preserve">    Product 15</w:t>
      </w:r>
      <w:r>
        <w:rPr>
          <w:rFonts w:ascii="Arial" w:cs="Arial" w:eastAsia="Arial" w:hAnsi="Arial"/>
          <w:b w:val="false"/>
          <w:bCs w:val="false"/>
          <w:color w:val="1A1A2E"/>
          <w:sz w:val="20"/>
          <w:szCs w:val="20"/>
        </w:rPr>
        <w:t xml:space="preserve">  NACH / eMandate for Loan Repayment</w:t>
      </w:r>
    </w:p>
    <w:p>
      <w:pPr>
        <w:tabs>
          <w:tab w:val="right" w:pos="9354" w:leader="9026"/>
        </w:tabs>
        <w:spacing w:after="40" w:before="40"/>
      </w:pPr>
      <w:r>
        <w:rPr>
          <w:rFonts w:ascii="Arial" w:cs="Arial" w:eastAsia="Arial" w:hAnsi="Arial"/>
          <w:b w:val="false"/>
          <w:bCs w:val="false"/>
          <w:color w:val="1A1A2E"/>
          <w:sz w:val="20"/>
          <w:szCs w:val="20"/>
        </w:rPr>
        <w:t xml:space="preserve">    Product 16</w:t>
      </w:r>
      <w:r>
        <w:rPr>
          <w:rFonts w:ascii="Arial" w:cs="Arial" w:eastAsia="Arial" w:hAnsi="Arial"/>
          <w:b w:val="false"/>
          <w:bCs w:val="false"/>
          <w:color w:val="1A1A2E"/>
          <w:sz w:val="20"/>
          <w:szCs w:val="20"/>
        </w:rPr>
        <w:t xml:space="preserve">  HRMS and Payroll</w:t>
      </w:r>
    </w:p>
    <w:p>
      <w:pPr>
        <w:tabs>
          <w:tab w:val="right" w:pos="9354" w:leader="9026"/>
        </w:tabs>
        <w:spacing w:after="40" w:before="40"/>
      </w:pPr>
      <w:r>
        <w:rPr>
          <w:rFonts w:ascii="Arial" w:cs="Arial" w:eastAsia="Arial" w:hAnsi="Arial"/>
          <w:b w:val="false"/>
          <w:bCs w:val="false"/>
          <w:color w:val="1A1A2E"/>
          <w:sz w:val="20"/>
          <w:szCs w:val="20"/>
        </w:rPr>
        <w:t xml:space="preserve">    Product 17</w:t>
      </w:r>
      <w:r>
        <w:rPr>
          <w:rFonts w:ascii="Arial" w:cs="Arial" w:eastAsia="Arial" w:hAnsi="Arial"/>
          <w:b w:val="false"/>
          <w:bCs w:val="false"/>
          <w:color w:val="1A1A2E"/>
          <w:sz w:val="20"/>
          <w:szCs w:val="20"/>
        </w:rPr>
        <w:t xml:space="preserve">  Cybersecurity and Data Security Infrastructure</w:t>
      </w:r>
    </w:p>
    <w:p>
      <w:pPr>
        <w:tabs>
          <w:tab w:val="right" w:pos="9354" w:leader="9026"/>
        </w:tabs>
        <w:spacing w:after="40" w:before="40"/>
      </w:pPr>
      <w:r>
        <w:rPr>
          <w:rFonts w:ascii="Arial" w:cs="Arial" w:eastAsia="Arial" w:hAnsi="Arial"/>
          <w:b w:val="false"/>
          <w:bCs w:val="false"/>
          <w:color w:val="1A1A2E"/>
          <w:sz w:val="20"/>
          <w:szCs w:val="20"/>
        </w:rPr>
        <w:t xml:space="preserve">    Product 18</w:t>
      </w:r>
      <w:r>
        <w:rPr>
          <w:rFonts w:ascii="Arial" w:cs="Arial" w:eastAsia="Arial" w:hAnsi="Arial"/>
          <w:b w:val="false"/>
          <w:bCs w:val="false"/>
          <w:color w:val="1A1A2E"/>
          <w:sz w:val="20"/>
          <w:szCs w:val="20"/>
        </w:rPr>
        <w:t xml:space="preserve">  Document Management System (DMS)</w:t>
      </w:r>
    </w:p>
    <w:p>
      <w:pPr>
        <w:tabs>
          <w:tab w:val="right" w:pos="9354" w:leader="9026"/>
        </w:tabs>
        <w:spacing w:after="40" w:before="40"/>
      </w:pPr>
      <w:r>
        <w:rPr>
          <w:rFonts w:ascii="Arial" w:cs="Arial" w:eastAsia="Arial" w:hAnsi="Arial"/>
          <w:b w:val="false"/>
          <w:bCs w:val="false"/>
          <w:color w:val="1A1A2E"/>
          <w:sz w:val="20"/>
          <w:szCs w:val="20"/>
        </w:rPr>
        <w:t xml:space="preserve">    Product 19</w:t>
      </w:r>
      <w:r>
        <w:rPr>
          <w:rFonts w:ascii="Arial" w:cs="Arial" w:eastAsia="Arial" w:hAnsi="Arial"/>
          <w:b w:val="false"/>
          <w:bCs w:val="false"/>
          <w:color w:val="1A1A2E"/>
          <w:sz w:val="20"/>
          <w:szCs w:val="20"/>
        </w:rPr>
        <w:t xml:space="preserve">  Treasury Management and SLR/Investment Tracking</w:t>
      </w:r>
    </w:p>
    <w:p>
      <w:pPr>
        <w:tabs>
          <w:tab w:val="right" w:pos="9354" w:leader="9026"/>
        </w:tabs>
        <w:spacing w:after="40" w:before="40"/>
      </w:pPr>
      <w:r>
        <w:rPr>
          <w:rFonts w:ascii="Arial" w:cs="Arial" w:eastAsia="Arial" w:hAnsi="Arial"/>
          <w:b w:val="false"/>
          <w:bCs w:val="false"/>
          <w:color w:val="1A1A2E"/>
          <w:sz w:val="20"/>
          <w:szCs w:val="20"/>
        </w:rPr>
        <w:t xml:space="preserve">    Product 20</w:t>
      </w:r>
      <w:r>
        <w:rPr>
          <w:rFonts w:ascii="Arial" w:cs="Arial" w:eastAsia="Arial" w:hAnsi="Arial"/>
          <w:b w:val="false"/>
          <w:bCs w:val="false"/>
          <w:color w:val="1A1A2E"/>
          <w:sz w:val="20"/>
          <w:szCs w:val="20"/>
        </w:rPr>
        <w:t xml:space="preserve">  Fraud Detection and AML System</w:t>
      </w:r>
    </w:p>
    <w:p>
      <w:pPr>
        <w:tabs>
          <w:tab w:val="right" w:pos="9354" w:leader="9026"/>
        </w:tabs>
        <w:spacing w:after="40" w:before="40"/>
      </w:pPr>
      <w:r>
        <w:rPr>
          <w:rFonts w:ascii="Arial" w:cs="Arial" w:eastAsia="Arial" w:hAnsi="Arial"/>
          <w:b/>
          <w:bCs/>
          <w:color w:val="0A1628"/>
          <w:sz w:val="22"/>
          <w:szCs w:val="22"/>
        </w:rPr>
        <w:t xml:space="preserve">PART III</w:t>
      </w:r>
      <w:r>
        <w:rPr>
          <w:rFonts w:ascii="Arial" w:cs="Arial" w:eastAsia="Arial" w:hAnsi="Arial"/>
          <w:b/>
          <w:bCs/>
          <w:color w:val="0A1628"/>
          <w:sz w:val="22"/>
          <w:szCs w:val="22"/>
        </w:rPr>
        <w:t xml:space="preserve">  Complete Implementation Workflows</w:t>
      </w:r>
    </w:p>
    <w:p>
      <w:pPr>
        <w:tabs>
          <w:tab w:val="right" w:pos="9354" w:leader="9026"/>
        </w:tabs>
        <w:spacing w:after="40" w:before="40"/>
      </w:pPr>
      <w:r>
        <w:rPr>
          <w:rFonts w:ascii="Arial" w:cs="Arial" w:eastAsia="Arial" w:hAnsi="Arial"/>
          <w:b/>
          <w:bCs/>
          <w:color w:val="0E8A8A"/>
          <w:sz w:val="20"/>
          <w:szCs w:val="20"/>
        </w:rPr>
        <w:t xml:space="preserve">Section 4</w:t>
      </w:r>
      <w:r>
        <w:rPr>
          <w:rFonts w:ascii="Arial" w:cs="Arial" w:eastAsia="Arial" w:hAnsi="Arial"/>
          <w:b w:val="false"/>
          <w:bCs w:val="false"/>
          <w:color w:val="1A1A2E"/>
          <w:sz w:val="20"/>
          <w:szCs w:val="20"/>
        </w:rPr>
        <w:t xml:space="preserve">  Step-by-Step Workflows by Product and Category</w:t>
      </w:r>
    </w:p>
    <w:p>
      <w:pPr>
        <w:tabs>
          <w:tab w:val="right" w:pos="9354" w:leader="9026"/>
        </w:tabs>
        <w:spacing w:after="40" w:before="40"/>
      </w:pPr>
      <w:r>
        <w:rPr>
          <w:rFonts w:ascii="Arial" w:cs="Arial" w:eastAsia="Arial" w:hAnsi="Arial"/>
          <w:b/>
          <w:bCs/>
          <w:color w:val="0A1628"/>
          <w:sz w:val="22"/>
          <w:szCs w:val="22"/>
        </w:rPr>
        <w:t xml:space="preserve">PART IV</w:t>
      </w:r>
      <w:r>
        <w:rPr>
          <w:rFonts w:ascii="Arial" w:cs="Arial" w:eastAsia="Arial" w:hAnsi="Arial"/>
          <w:b/>
          <w:bCs/>
          <w:color w:val="0A1628"/>
          <w:sz w:val="22"/>
          <w:szCs w:val="22"/>
        </w:rPr>
        <w:t xml:space="preserve">  Client Effectiveness and Remote Area Analysis</w:t>
      </w:r>
    </w:p>
    <w:p>
      <w:pPr>
        <w:tabs>
          <w:tab w:val="right" w:pos="9354" w:leader="9026"/>
        </w:tabs>
        <w:spacing w:after="40" w:before="40"/>
      </w:pPr>
      <w:r>
        <w:rPr>
          <w:rFonts w:ascii="Arial" w:cs="Arial" w:eastAsia="Arial" w:hAnsi="Arial"/>
          <w:b/>
          <w:bCs/>
          <w:color w:val="0E8A8A"/>
          <w:sz w:val="20"/>
          <w:szCs w:val="20"/>
        </w:rPr>
        <w:t xml:space="preserve">Section 5</w:t>
      </w:r>
      <w:r>
        <w:rPr>
          <w:rFonts w:ascii="Arial" w:cs="Arial" w:eastAsia="Arial" w:hAnsi="Arial"/>
          <w:b w:val="false"/>
          <w:bCs w:val="false"/>
          <w:color w:val="1A1A2E"/>
          <w:sz w:val="20"/>
          <w:szCs w:val="20"/>
        </w:rPr>
        <w:t xml:space="preserve">  Is Digitalization Genuinely Effective for Rural Clients?</w:t>
      </w:r>
    </w:p>
    <w:p>
      <w:pPr>
        <w:tabs>
          <w:tab w:val="right" w:pos="9354" w:leader="9026"/>
        </w:tabs>
        <w:spacing w:after="40" w:before="40"/>
      </w:pPr>
      <w:r>
        <w:rPr>
          <w:rFonts w:ascii="Arial" w:cs="Arial" w:eastAsia="Arial" w:hAnsi="Arial"/>
          <w:b/>
          <w:bCs/>
          <w:color w:val="0A1628"/>
          <w:sz w:val="22"/>
          <w:szCs w:val="22"/>
        </w:rPr>
        <w:t xml:space="preserve">PART V</w:t>
      </w:r>
      <w:r>
        <w:rPr>
          <w:rFonts w:ascii="Arial" w:cs="Arial" w:eastAsia="Arial" w:hAnsi="Arial"/>
          <w:b/>
          <w:bCs/>
          <w:color w:val="0A1628"/>
          <w:sz w:val="22"/>
          <w:szCs w:val="22"/>
        </w:rPr>
        <w:t xml:space="preserve">  Granularity — Bank-Wise vs Branch-Wise vs Region-Wise</w:t>
      </w:r>
    </w:p>
    <w:p>
      <w:pPr>
        <w:tabs>
          <w:tab w:val="right" w:pos="9354" w:leader="9026"/>
        </w:tabs>
        <w:spacing w:after="40" w:before="40"/>
      </w:pPr>
      <w:r>
        <w:rPr>
          <w:rFonts w:ascii="Arial" w:cs="Arial" w:eastAsia="Arial" w:hAnsi="Arial"/>
          <w:b/>
          <w:bCs/>
          <w:color w:val="0E8A8A"/>
          <w:sz w:val="20"/>
          <w:szCs w:val="20"/>
        </w:rPr>
        <w:t xml:space="preserve">Section 6</w:t>
      </w:r>
      <w:r>
        <w:rPr>
          <w:rFonts w:ascii="Arial" w:cs="Arial" w:eastAsia="Arial" w:hAnsi="Arial"/>
          <w:b w:val="false"/>
          <w:bCs w:val="false"/>
          <w:color w:val="1A1A2E"/>
          <w:sz w:val="20"/>
          <w:szCs w:val="20"/>
        </w:rPr>
        <w:t xml:space="preserve">  The Measurement Granularity Decision</w:t>
      </w:r>
    </w:p>
    <w:p>
      <w:pPr>
        <w:tabs>
          <w:tab w:val="right" w:pos="9354" w:leader="9026"/>
        </w:tabs>
        <w:spacing w:after="40" w:before="40"/>
      </w:pPr>
      <w:r>
        <w:rPr>
          <w:rFonts w:ascii="Arial" w:cs="Arial" w:eastAsia="Arial" w:hAnsi="Arial"/>
          <w:b/>
          <w:bCs/>
          <w:color w:val="0A1628"/>
          <w:sz w:val="22"/>
          <w:szCs w:val="22"/>
        </w:rPr>
        <w:t xml:space="preserve">PART VI</w:t>
      </w:r>
      <w:r>
        <w:rPr>
          <w:rFonts w:ascii="Arial" w:cs="Arial" w:eastAsia="Arial" w:hAnsi="Arial"/>
          <w:b/>
          <w:bCs/>
          <w:color w:val="0A1628"/>
          <w:sz w:val="22"/>
          <w:szCs w:val="22"/>
        </w:rPr>
        <w:t xml:space="preserve">  Scale-Down Architecture</w:t>
      </w:r>
    </w:p>
    <w:p>
      <w:pPr>
        <w:tabs>
          <w:tab w:val="right" w:pos="9354" w:leader="9026"/>
        </w:tabs>
        <w:spacing w:after="40" w:before="40"/>
      </w:pPr>
      <w:r>
        <w:rPr>
          <w:rFonts w:ascii="Arial" w:cs="Arial" w:eastAsia="Arial" w:hAnsi="Arial"/>
          <w:b/>
          <w:bCs/>
          <w:color w:val="0E8A8A"/>
          <w:sz w:val="20"/>
          <w:szCs w:val="20"/>
        </w:rPr>
        <w:t xml:space="preserve">Section 7</w:t>
      </w:r>
      <w:r>
        <w:rPr>
          <w:rFonts w:ascii="Arial" w:cs="Arial" w:eastAsia="Arial" w:hAnsi="Arial"/>
          <w:b w:val="false"/>
          <w:bCs w:val="false"/>
          <w:color w:val="1A1A2E"/>
          <w:sz w:val="20"/>
          <w:szCs w:val="20"/>
        </w:rPr>
        <w:t xml:space="preserve">  From Large Bank to DCCB — The Scale-Down Model</w:t>
      </w:r>
    </w:p>
    <w:p>
      <w:pPr>
        <w:tabs>
          <w:tab w:val="right" w:pos="9354" w:leader="9026"/>
        </w:tabs>
        <w:spacing w:after="40" w:before="40"/>
      </w:pPr>
      <w:r>
        <w:rPr>
          <w:rFonts w:ascii="Arial" w:cs="Arial" w:eastAsia="Arial" w:hAnsi="Arial"/>
          <w:b/>
          <w:bCs/>
          <w:color w:val="0A1628"/>
          <w:sz w:val="22"/>
          <w:szCs w:val="22"/>
        </w:rPr>
        <w:t xml:space="preserve">PART VII</w:t>
      </w:r>
      <w:r>
        <w:rPr>
          <w:rFonts w:ascii="Arial" w:cs="Arial" w:eastAsia="Arial" w:hAnsi="Arial"/>
          <w:b/>
          <w:bCs/>
          <w:color w:val="0A1628"/>
          <w:sz w:val="22"/>
          <w:szCs w:val="22"/>
        </w:rPr>
        <w:t xml:space="preserve">  Already Implemented Products — Status and Gaps</w:t>
      </w:r>
    </w:p>
    <w:p>
      <w:pPr>
        <w:tabs>
          <w:tab w:val="right" w:pos="9354" w:leader="9026"/>
        </w:tabs>
        <w:spacing w:after="40" w:before="40"/>
      </w:pPr>
      <w:r>
        <w:rPr>
          <w:rFonts w:ascii="Arial" w:cs="Arial" w:eastAsia="Arial" w:hAnsi="Arial"/>
          <w:b/>
          <w:bCs/>
          <w:color w:val="0E8A8A"/>
          <w:sz w:val="20"/>
          <w:szCs w:val="20"/>
        </w:rPr>
        <w:t xml:space="preserve">Section 8</w:t>
      </w:r>
      <w:r>
        <w:rPr>
          <w:rFonts w:ascii="Arial" w:cs="Arial" w:eastAsia="Arial" w:hAnsi="Arial"/>
          <w:b w:val="false"/>
          <w:bCs w:val="false"/>
          <w:color w:val="1A1A2E"/>
          <w:sz w:val="20"/>
          <w:szCs w:val="20"/>
        </w:rPr>
        <w:t xml:space="preserve">  Products Already Implemented — Optimisation and Gap Closure</w:t>
      </w:r>
    </w:p>
    <w:p>
      <w:pPr>
        <w:tabs>
          <w:tab w:val="right" w:pos="9354" w:leader="9026"/>
        </w:tabs>
        <w:spacing w:after="40" w:before="40"/>
      </w:pPr>
      <w:r>
        <w:rPr>
          <w:rFonts w:ascii="Arial" w:cs="Arial" w:eastAsia="Arial" w:hAnsi="Arial"/>
          <w:b/>
          <w:bCs/>
          <w:color w:val="0A1628"/>
          <w:sz w:val="22"/>
          <w:szCs w:val="22"/>
        </w:rPr>
        <w:t xml:space="preserve">PART VIII</w:t>
      </w:r>
      <w:r>
        <w:rPr>
          <w:rFonts w:ascii="Arial" w:cs="Arial" w:eastAsia="Arial" w:hAnsi="Arial"/>
          <w:b/>
          <w:bCs/>
          <w:color w:val="0A1628"/>
          <w:sz w:val="22"/>
          <w:szCs w:val="22"/>
        </w:rPr>
        <w:t xml:space="preserve">  Performance Metrics and Benchmarking Framework</w:t>
      </w:r>
    </w:p>
    <w:p>
      <w:pPr>
        <w:tabs>
          <w:tab w:val="right" w:pos="9354" w:leader="9026"/>
        </w:tabs>
        <w:spacing w:after="40" w:before="40"/>
      </w:pPr>
      <w:r>
        <w:rPr>
          <w:rFonts w:ascii="Arial" w:cs="Arial" w:eastAsia="Arial" w:hAnsi="Arial"/>
          <w:b/>
          <w:bCs/>
          <w:color w:val="0E8A8A"/>
          <w:sz w:val="20"/>
          <w:szCs w:val="20"/>
        </w:rPr>
        <w:t xml:space="preserve">Section 9</w:t>
      </w:r>
      <w:r>
        <w:rPr>
          <w:rFonts w:ascii="Arial" w:cs="Arial" w:eastAsia="Arial" w:hAnsi="Arial"/>
          <w:b w:val="false"/>
          <w:bCs w:val="false"/>
          <w:color w:val="1A1A2E"/>
          <w:sz w:val="20"/>
          <w:szCs w:val="20"/>
        </w:rPr>
        <w:t xml:space="preserve">  Comprehensive KPI Framework and Benchmarks</w:t>
      </w:r>
    </w:p>
    <w:p>
      <w:pPr>
        <w:tabs>
          <w:tab w:val="right" w:pos="9354" w:leader="9026"/>
        </w:tabs>
        <w:spacing w:after="40" w:before="40"/>
      </w:pPr>
      <w:r>
        <w:rPr>
          <w:rFonts w:ascii="Arial" w:cs="Arial" w:eastAsia="Arial" w:hAnsi="Arial"/>
          <w:b/>
          <w:bCs/>
          <w:color w:val="0A1628"/>
          <w:sz w:val="22"/>
          <w:szCs w:val="22"/>
        </w:rPr>
        <w:t xml:space="preserve">PART IX</w:t>
      </w:r>
      <w:r>
        <w:rPr>
          <w:rFonts w:ascii="Arial" w:cs="Arial" w:eastAsia="Arial" w:hAnsi="Arial"/>
          <w:b/>
          <w:bCs/>
          <w:color w:val="0A1628"/>
          <w:sz w:val="22"/>
          <w:szCs w:val="22"/>
        </w:rPr>
        <w:t xml:space="preserve">  Strategic Roadmap and SSPL Advisory Calendar</w:t>
      </w:r>
    </w:p>
    <w:p>
      <w:pPr>
        <w:tabs>
          <w:tab w:val="right" w:pos="9354" w:leader="9026"/>
        </w:tabs>
        <w:spacing w:after="40" w:before="40"/>
      </w:pPr>
      <w:r>
        <w:rPr>
          <w:rFonts w:ascii="Arial" w:cs="Arial" w:eastAsia="Arial" w:hAnsi="Arial"/>
          <w:b/>
          <w:bCs/>
          <w:color w:val="0E8A8A"/>
          <w:sz w:val="20"/>
          <w:szCs w:val="20"/>
        </w:rPr>
        <w:t xml:space="preserve">Section 10</w:t>
      </w:r>
      <w:r>
        <w:rPr>
          <w:rFonts w:ascii="Arial" w:cs="Arial" w:eastAsia="Arial" w:hAnsi="Arial"/>
          <w:b w:val="false"/>
          <w:bCs w:val="false"/>
          <w:color w:val="1A1A2E"/>
          <w:sz w:val="20"/>
          <w:szCs w:val="20"/>
        </w:rPr>
        <w:t xml:space="preserve">  36-Month Strategic Implementation Roadmap</w:t>
      </w:r>
    </w:p>
    <w:p>
      <w:pPr>
        <w:tabs>
          <w:tab w:val="right" w:pos="9354" w:leader="9026"/>
        </w:tabs>
        <w:spacing w:after="40" w:before="40"/>
      </w:pPr>
      <w:r>
        <w:rPr>
          <w:rFonts w:ascii="Arial" w:cs="Arial" w:eastAsia="Arial" w:hAnsi="Arial"/>
          <w:b/>
          <w:bCs/>
          <w:color w:val="0A1628"/>
          <w:sz w:val="22"/>
          <w:szCs w:val="22"/>
        </w:rPr>
        <w:t xml:space="preserve">PART X</w:t>
      </w:r>
      <w:r>
        <w:rPr>
          <w:rFonts w:ascii="Arial" w:cs="Arial" w:eastAsia="Arial" w:hAnsi="Arial"/>
          <w:b/>
          <w:bCs/>
          <w:color w:val="0A1628"/>
          <w:sz w:val="22"/>
          <w:szCs w:val="22"/>
        </w:rPr>
        <w:t xml:space="preserve">  Strategic Conclusion and Recommendation Matrix</w:t>
      </w:r>
    </w:p>
    <w:p>
      <w:pPr>
        <w:tabs>
          <w:tab w:val="right" w:pos="9354" w:leader="9026"/>
        </w:tabs>
        <w:spacing w:after="40" w:before="40"/>
      </w:pPr>
      <w:r>
        <w:rPr>
          <w:rFonts w:ascii="Arial" w:cs="Arial" w:eastAsia="Arial" w:hAnsi="Arial"/>
          <w:b/>
          <w:bCs/>
          <w:color w:val="0E8A8A"/>
          <w:sz w:val="20"/>
          <w:szCs w:val="20"/>
        </w:rPr>
        <w:t xml:space="preserve">Section 11</w:t>
      </w:r>
      <w:r>
        <w:rPr>
          <w:rFonts w:ascii="Arial" w:cs="Arial" w:eastAsia="Arial" w:hAnsi="Arial"/>
          <w:b w:val="false"/>
          <w:bCs w:val="false"/>
          <w:color w:val="1A1A2E"/>
          <w:sz w:val="20"/>
          <w:szCs w:val="20"/>
        </w:rPr>
        <w:t xml:space="preserve">  Strategic Conclusions and the SSPL Recommendation Matrix</w:t>
      </w:r>
    </w:p>
    <w:p>
      <w:pPr>
        <w:tabs>
          <w:tab w:val="right" w:pos="9354" w:leader="9026"/>
        </w:tabs>
        <w:spacing w:after="40" w:before="40"/>
      </w:pPr>
      <w:r>
        <w:rPr>
          <w:rFonts w:ascii="Arial" w:cs="Arial" w:eastAsia="Arial" w:hAnsi="Arial"/>
          <w:b w:val="false"/>
          <w:bCs w:val="false"/>
          <w:color w:val="1A1A2E"/>
          <w:sz w:val="20"/>
          <w:szCs w:val="20"/>
        </w:rPr>
        <w:t xml:space="preserve">Annexure A</w:t>
      </w:r>
      <w:r>
        <w:rPr>
          <w:rFonts w:ascii="Arial" w:cs="Arial" w:eastAsia="Arial" w:hAnsi="Arial"/>
          <w:b w:val="false"/>
          <w:bCs w:val="false"/>
          <w:color w:val="1A1A2E"/>
          <w:sz w:val="20"/>
          <w:szCs w:val="20"/>
        </w:rPr>
        <w:t xml:space="preserve">  Glossary of Terms (60+ Terms)</w:t>
      </w:r>
    </w:p>
    <w:p>
      <w:pPr>
        <w:tabs>
          <w:tab w:val="right" w:pos="9354" w:leader="9026"/>
        </w:tabs>
        <w:spacing w:after="40" w:before="40"/>
      </w:pPr>
      <w:r>
        <w:rPr>
          <w:rFonts w:ascii="Arial" w:cs="Arial" w:eastAsia="Arial" w:hAnsi="Arial"/>
          <w:b w:val="false"/>
          <w:bCs w:val="false"/>
          <w:color w:val="1A1A2E"/>
          <w:sz w:val="20"/>
          <w:szCs w:val="20"/>
        </w:rPr>
        <w:t xml:space="preserve">Annexure B</w:t>
      </w:r>
      <w:r>
        <w:rPr>
          <w:rFonts w:ascii="Arial" w:cs="Arial" w:eastAsia="Arial" w:hAnsi="Arial"/>
          <w:b w:val="false"/>
          <w:bCs w:val="false"/>
          <w:color w:val="1A1A2E"/>
          <w:sz w:val="20"/>
          <w:szCs w:val="20"/>
        </w:rPr>
        <w:t xml:space="preserve">  CBS Vendor Comparison Table</w:t>
      </w:r>
    </w:p>
    <w:p>
      <w:pPr>
        <w:tabs>
          <w:tab w:val="right" w:pos="9354" w:leader="9026"/>
        </w:tabs>
        <w:spacing w:after="40" w:before="40"/>
      </w:pPr>
      <w:r>
        <w:rPr>
          <w:rFonts w:ascii="Arial" w:cs="Arial" w:eastAsia="Arial" w:hAnsi="Arial"/>
          <w:b w:val="false"/>
          <w:bCs w:val="false"/>
          <w:color w:val="1A1A2E"/>
          <w:sz w:val="20"/>
          <w:szCs w:val="20"/>
        </w:rPr>
        <w:t xml:space="preserve">Annexure C</w:t>
      </w:r>
      <w:r>
        <w:rPr>
          <w:rFonts w:ascii="Arial" w:cs="Arial" w:eastAsia="Arial" w:hAnsi="Arial"/>
          <w:b w:val="false"/>
          <w:bCs w:val="false"/>
          <w:color w:val="1A1A2E"/>
          <w:sz w:val="20"/>
          <w:szCs w:val="20"/>
        </w:rPr>
        <w:t xml:space="preserve">  SSPL Service Catalogue</w:t>
      </w:r>
    </w:p>
    <w:p>
      <w:pPr>
        <w:tabs>
          <w:tab w:val="right" w:pos="9354" w:leader="9026"/>
        </w:tabs>
        <w:spacing w:after="40" w:before="40"/>
      </w:pPr>
      <w:r>
        <w:rPr>
          <w:rFonts w:ascii="Arial" w:cs="Arial" w:eastAsia="Arial" w:hAnsi="Arial"/>
          <w:b w:val="false"/>
          <w:bCs w:val="false"/>
          <w:color w:val="1A1A2E"/>
          <w:sz w:val="20"/>
          <w:szCs w:val="20"/>
        </w:rPr>
        <w:t xml:space="preserve">Annexure D</w:t>
      </w:r>
      <w:r>
        <w:rPr>
          <w:rFonts w:ascii="Arial" w:cs="Arial" w:eastAsia="Arial" w:hAnsi="Arial"/>
          <w:b w:val="false"/>
          <w:bCs w:val="false"/>
          <w:color w:val="1A1A2E"/>
          <w:sz w:val="20"/>
          <w:szCs w:val="20"/>
        </w:rPr>
        <w:t xml:space="preserve">  Regional DCCB Digital Maturity Heat Map</w:t>
      </w:r>
    </w:p>
    <w:p>
      <w:pPr>
        <w:tabs>
          <w:tab w:val="right" w:pos="9354" w:leader="9026"/>
        </w:tabs>
        <w:spacing w:after="40" w:before="40"/>
      </w:pPr>
      <w:r>
        <w:rPr>
          <w:rFonts w:ascii="Arial" w:cs="Arial" w:eastAsia="Arial" w:hAnsi="Arial"/>
          <w:b w:val="false"/>
          <w:bCs w:val="false"/>
          <w:color w:val="1A1A2E"/>
          <w:sz w:val="20"/>
          <w:szCs w:val="20"/>
        </w:rPr>
        <w:t xml:space="preserve">Annexure E</w:t>
      </w:r>
      <w:r>
        <w:rPr>
          <w:rFonts w:ascii="Arial" w:cs="Arial" w:eastAsia="Arial" w:hAnsi="Arial"/>
          <w:b w:val="false"/>
          <w:bCs w:val="false"/>
          <w:color w:val="1A1A2E"/>
          <w:sz w:val="20"/>
          <w:szCs w:val="20"/>
        </w:rPr>
        <w:t xml:space="preserve">  Sample GBPEM Assessment Worksheet</w:t>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I</w:t>
            </w:r>
          </w:p>
          <w:p>
            <w:pPr>
              <w:jc w:val="center"/>
            </w:pPr>
            <w:r>
              <w:rPr>
                <w:rFonts w:ascii="Arial" w:cs="Arial" w:eastAsia="Arial" w:hAnsi="Arial"/>
                <w:b/>
                <w:bCs/>
                <w:color w:val="FFFFFF"/>
                <w:sz w:val="28"/>
                <w:szCs w:val="28"/>
              </w:rPr>
              <w:t xml:space="preserve">Foundations and Framework Architecture</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1: The Generic Bank Product Effectiveness Model (GBPEM)</w:t>
      </w:r>
    </w:p>
    <w:p>
      <w:pPr>
        <w:pStyle w:val="Heading2"/>
        <w:spacing w:after="120" w:before="260"/>
      </w:pPr>
      <w:r>
        <w:rPr>
          <w:rFonts w:ascii="Arial" w:cs="Arial" w:eastAsia="Arial" w:hAnsi="Arial"/>
          <w:b/>
          <w:bCs/>
          <w:color w:val="0E8A8A"/>
          <w:sz w:val="32"/>
          <w:szCs w:val="32"/>
        </w:rPr>
        <w:t xml:space="preserve">1.1 Model Philosophy and Purpose</w:t>
      </w:r>
    </w:p>
    <w:p>
      <w:pPr>
        <w:spacing w:after="100" w:before="80" w:line="276" w:lineRule="auto"/>
        <w:jc w:val="both"/>
      </w:pPr>
      <w:r>
        <w:rPr>
          <w:rFonts w:ascii="Arial" w:cs="Arial" w:eastAsia="Arial" w:hAnsi="Arial"/>
          <w:b w:val="false"/>
          <w:bCs w:val="false"/>
          <w:i w:val="false"/>
          <w:iCs w:val="false"/>
          <w:color w:val="1A1A2E"/>
          <w:sz w:val="22"/>
          <w:szCs w:val="22"/>
        </w:rPr>
        <w:t xml:space="preserve">The Generic Bank Product Effectiveness Model (GBPEM) was conceived to solve one of the most persistent and costly failures in rural banking technology adoption: the blind replication of large commercial bank products in cooperative banking institutions that lack the infrastructure, staff capability, client digital readiness, and financial capacity to absorb them. India's 352 DCCBs have, for two decades, watched large banks deploy superapp platforms, AI underwriting engines, and sophisticated treasury management systems — and then attempted to procure similar solutions, often resulting in failed implementations, vendor lock-in, and investments that delivered a fraction of their promised returns.</w:t>
      </w:r>
    </w:p>
    <w:p>
      <w:pPr>
        <w:spacing w:after="100" w:before="80" w:line="276" w:lineRule="auto"/>
        <w:jc w:val="both"/>
      </w:pPr>
      <w:r>
        <w:rPr>
          <w:rFonts w:ascii="Arial" w:cs="Arial" w:eastAsia="Arial" w:hAnsi="Arial"/>
          <w:b w:val="false"/>
          <w:bCs w:val="false"/>
          <w:i w:val="false"/>
          <w:iCs w:val="false"/>
          <w:color w:val="1A1A2E"/>
          <w:sz w:val="22"/>
          <w:szCs w:val="22"/>
        </w:rPr>
        <w:t xml:space="preserve">The GBPEM is a structured, five-axis analytical instrument that allows SSPL, NABARD, and DCCB management boards to make evidence-based decisions about which banking products to implement, in what sequence, and through which delivery mechanism. It replaces aspiration-driven procurement with data-driven prioritisation. The model draws from field diagnostics across cooperative banks in Maharashtra, Telangana, Odisha, Gujarat, Karnataka, Uttar Pradesh, Bihar, and Northeast India, combined with benchmarked performance data from large commercial bank implementations.</w:t>
      </w:r>
    </w:p>
    <w:p>
      <w:pPr>
        <w:spacing w:after="100" w:before="80" w:line="276" w:lineRule="auto"/>
        <w:jc w:val="both"/>
      </w:pPr>
      <w:r>
        <w:rPr>
          <w:rFonts w:ascii="Arial" w:cs="Arial" w:eastAsia="Arial" w:hAnsi="Arial"/>
          <w:b w:val="false"/>
          <w:bCs w:val="false"/>
          <w:i w:val="false"/>
          <w:iCs w:val="false"/>
          <w:color w:val="1A1A2E"/>
          <w:sz w:val="22"/>
          <w:szCs w:val="22"/>
        </w:rPr>
        <w:t xml:space="preserve">The GBPEM serves five distinct purposes. First, it evaluates whether a banking product is worth implementing at RFI scale by assessing the product's proven effectiveness, rural adaptability, implementation complexity, financial impact, and client value — each scored on a 1–5 axis. Second, it benchmarks what large commercial banks are actually doing with each product, including scale metrics, user adoption data, and technology architecture, so DCCB leadership can understand both the aspiration and the gap. Third, it determines implementation feasibility by institution category, recognising that a Digitally Mature RFI in Pune and a Pre-Digital RFI in Manipur face fundamentally different implementation realities.</w:t>
      </w:r>
    </w:p>
    <w:p>
      <w:pPr>
        <w:spacing w:after="100" w:before="80" w:line="276" w:lineRule="auto"/>
        <w:jc w:val="both"/>
      </w:pPr>
      <w:r>
        <w:rPr>
          <w:rFonts w:ascii="Arial" w:cs="Arial" w:eastAsia="Arial" w:hAnsi="Arial"/>
          <w:b w:val="false"/>
          <w:bCs w:val="false"/>
          <w:i w:val="false"/>
          <w:iCs w:val="false"/>
          <w:color w:val="1A1A2E"/>
          <w:sz w:val="22"/>
          <w:szCs w:val="22"/>
        </w:rPr>
        <w:t xml:space="preserve">Fourth, the GBPEM calculates expected ROI, time savings, and performance improvement using verified benchmarks: loan TAT reduction of 60–70%, compliance cycle compression from 780 person-hours to fewer than 90, NPA formation reduction of 20–25%, and credit inclusion gains of 18%. These are not projections — they are documented outcomes from NABARD field pilots and state cooperative bank implementations. Fifth, the GBPEM prescribes the correct technology path for each product: whether it should be delivered through the SSPL shared services model, procured from an affordable third-party ERP vendor, or configured on the institution's existing CBS with minimal additional investment.</w:t>
      </w:r>
    </w:p>
    <w:p>
      <w:pPr>
        <w:spacing w:after="100" w:before="80" w:line="276" w:lineRule="auto"/>
        <w:jc w:val="both"/>
      </w:pPr>
      <w:r>
        <w:rPr>
          <w:rFonts w:ascii="Arial" w:cs="Arial" w:eastAsia="Arial" w:hAnsi="Arial"/>
          <w:b w:val="false"/>
          <w:bCs w:val="false"/>
          <w:i w:val="false"/>
          <w:iCs w:val="false"/>
          <w:color w:val="1A1A2E"/>
          <w:sz w:val="22"/>
          <w:szCs w:val="22"/>
        </w:rPr>
        <w:t xml:space="preserve">The model was also designed to address a cultural problem in cooperative banking procurement. When a DCCB board sees SBI's YONO superapp attracting 100 million downloads, the instinct is to procure something similar. The GBPEM's Rural Adaptability Score immediately surfaces the reality: YONO required ₹4,000 crore in development, demands a smartphone with stable 4G connectivity, and is built for an urban, financially literate customer. The DCCB's core client — a sugarcane farmer in eastern UP or a tribal cultivator in Chhattisgarh — needs a missed-call banking service or an AePS terminal at the PACS doorstep, not a superapp. This translation from commercial bank aspiration to cooperative bank reality is the GBPEM's most important function.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0E8A8A" w:sz="20"/>
              <w:bottom w:val="none" w:color="FFFFFF" w:sz="0"/>
              <w:right w:val="none" w:color="FFFFFF" w:sz="0"/>
            </w:tcBorders>
            <w:shd w:fill="F0F8F8" w:val="clear"/>
            <w:tcMar>
              <w:top w:type="dxa" w:w="120"/>
              <w:left w:type="dxa" w:w="240"/>
              <w:bottom w:type="dxa" w:w="120"/>
              <w:right w:type="dxa" w:w="120"/>
            </w:tcMar>
          </w:tcPr>
          <w:p>
            <w:pPr>
              <w:spacing w:after="0" w:before="0"/>
            </w:pPr>
            <w:r>
              <w:rPr>
                <w:rFonts w:ascii="Arial" w:cs="Arial" w:eastAsia="Arial" w:hAnsi="Arial"/>
                <w:i/>
                <w:iCs/>
                <w:color w:val="1A3A50"/>
                <w:sz w:val="20"/>
                <w:szCs w:val="20"/>
              </w:rPr>
              <w:t xml:space="preserve">GBPEM Core Principle: A product scoring below 15 out of 25 on the composite GBPEM matrix should not be implemented independently by a DCCB. It should either be pursued through the SSPL shared model (reducing individual cost and risk) or deferred until the institution achieves a higher RFI maturity category. Products scoring 18–25 represent the priority implementation set for any given DCCB category.</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1.2 The 5-Dimensional Scoring Matrix</w:t>
      </w:r>
    </w:p>
    <w:p>
      <w:pPr>
        <w:pStyle w:val="Heading3"/>
        <w:spacing w:after="80" w:before="200"/>
      </w:pPr>
      <w:r>
        <w:rPr>
          <w:rFonts w:ascii="Arial" w:cs="Arial" w:eastAsia="Arial" w:hAnsi="Arial"/>
          <w:b/>
          <w:bCs/>
          <w:color w:val="0A1628"/>
          <w:sz w:val="26"/>
          <w:szCs w:val="26"/>
        </w:rPr>
        <w:t xml:space="preserve">Axis 1: Product Maturity Score (PMS)</w:t>
      </w:r>
    </w:p>
    <w:p>
      <w:pPr>
        <w:spacing w:after="100" w:before="80" w:line="276" w:lineRule="auto"/>
        <w:jc w:val="both"/>
      </w:pPr>
      <w:r>
        <w:rPr>
          <w:rFonts w:ascii="Arial" w:cs="Arial" w:eastAsia="Arial" w:hAnsi="Arial"/>
          <w:b w:val="false"/>
          <w:bCs w:val="false"/>
          <w:i w:val="false"/>
          <w:iCs w:val="false"/>
          <w:color w:val="1A1A2E"/>
          <w:sz w:val="22"/>
          <w:szCs w:val="22"/>
        </w:rPr>
        <w:t xml:space="preserve">The Product Maturity Score measures how proven a product is at large-bank scale, assessing the depth of evidence base supporting its effectiveness, the number of institutions that have successfully implemented it, the longevity of its deployment, and the existence of documented ROI data from comparable banking environments.</w:t>
      </w:r>
    </w:p>
    <w:p>
      <w:pPr>
        <w:spacing w:after="100" w:before="80" w:line="276" w:lineRule="auto"/>
        <w:jc w:val="both"/>
      </w:pPr>
      <w:r>
        <w:rPr>
          <w:rFonts w:ascii="Arial" w:cs="Arial" w:eastAsia="Arial" w:hAnsi="Arial"/>
          <w:b w:val="false"/>
          <w:bCs w:val="false"/>
          <w:i w:val="false"/>
          <w:iCs w:val="false"/>
          <w:color w:val="1A1A2E"/>
          <w:sz w:val="22"/>
          <w:szCs w:val="22"/>
        </w:rPr>
        <w:t xml:space="preserve">A score of 1 indicates an experimental product with limited real-world deployment, high implementation risk, and no reliable performance benchmarks. A score of 5 denotes a product that is fully proven at 100 million-plus user scale, has been implemented across multiple banking types and geographies, has robust third-party ROI validation, and has well-established vendor ecosystems. The rural relevance of this axis is critical: mature products have resolved integration bugs, vendor support is stable, implementation timelines are predictable, and training materials are available. Cooperative banks should not be guinea pigs for technology at version 1.0 when their thin capital bases cannot absorb implementation failures.</w:t>
      </w:r>
    </w:p>
    <w:p>
      <w:pPr>
        <w:spacing w:after="100" w:before="80" w:line="276" w:lineRule="auto"/>
        <w:jc w:val="both"/>
      </w:pPr>
      <w:r>
        <w:rPr>
          <w:rFonts w:ascii="Arial" w:cs="Arial" w:eastAsia="Arial" w:hAnsi="Arial"/>
          <w:b w:val="false"/>
          <w:bCs w:val="false"/>
          <w:i w:val="false"/>
          <w:iCs w:val="false"/>
          <w:color w:val="1A1A2E"/>
          <w:sz w:val="22"/>
          <w:szCs w:val="22"/>
        </w:rPr>
        <w:t xml:space="preserve">Worked example — Mobile Banking: SBI YONO has over 100 million downloads, 8.77 crore registered users as of FY25, processes 64% of regular savings account openings, and has been operational for over seven years. Its IBM-developed architecture is well-understood. PMS score: 5/5.</w:t>
      </w:r>
    </w:p>
    <w:p>
      <w:pPr>
        <w:pStyle w:val="Heading3"/>
        <w:spacing w:after="80" w:before="200"/>
      </w:pPr>
      <w:r>
        <w:rPr>
          <w:rFonts w:ascii="Arial" w:cs="Arial" w:eastAsia="Arial" w:hAnsi="Arial"/>
          <w:b/>
          <w:bCs/>
          <w:color w:val="0A1628"/>
          <w:sz w:val="26"/>
          <w:szCs w:val="26"/>
        </w:rPr>
        <w:t xml:space="preserve">Axis 2: Rural Adaptability Score (RAS)</w:t>
      </w:r>
    </w:p>
    <w:p>
      <w:pPr>
        <w:spacing w:after="100" w:before="80" w:line="276" w:lineRule="auto"/>
        <w:jc w:val="both"/>
      </w:pPr>
      <w:r>
        <w:rPr>
          <w:rFonts w:ascii="Arial" w:cs="Arial" w:eastAsia="Arial" w:hAnsi="Arial"/>
          <w:b w:val="false"/>
          <w:bCs w:val="false"/>
          <w:i w:val="false"/>
          <w:iCs w:val="false"/>
          <w:color w:val="1A1A2E"/>
          <w:sz w:val="22"/>
          <w:szCs w:val="22"/>
        </w:rPr>
        <w:t xml:space="preserve">The Rural Adaptability Score is perhaps the most differentiating axis in the GBPEM because it directly addresses the mismatch between how banking products are designed and how India's rural cooperative banking clients actually live and work. A product that earns PMS 5 for its large-bank maturity can score RAS 1 if it requires a high-end smartphone, stable 4G connectivity, financial literacy above the national rural average, and independent user navigation of complex menus.</w:t>
      </w:r>
    </w:p>
    <w:p>
      <w:pPr>
        <w:spacing w:after="100" w:before="80" w:line="276" w:lineRule="auto"/>
        <w:jc w:val="both"/>
      </w:pPr>
      <w:r>
        <w:rPr>
          <w:rFonts w:ascii="Arial" w:cs="Arial" w:eastAsia="Arial" w:hAnsi="Arial"/>
          <w:b w:val="false"/>
          <w:bCs w:val="false"/>
          <w:i w:val="false"/>
          <w:iCs w:val="false"/>
          <w:color w:val="1A1A2E"/>
          <w:sz w:val="22"/>
          <w:szCs w:val="22"/>
        </w:rPr>
        <w:t xml:space="preserve">The RAS assesses five adaptability tests: USSD capability (does the product work on a feature phone via *99# without data?); offline mode (can transactions be queued and posted when connectivity resumes?); regional language support (does the product support Hindi, Marathi, Telugu, Kannada, Tamil, Odia, Bengali — the languages of DCCB clients?); assisted-use compatibility (can a BC agent or PACS operator use the product on behalf of a client without requiring the client to have a device?); and feature-phone compatibility (does the core service function on a ₹1,000 feature phone without a data plan?).</w:t>
      </w:r>
    </w:p>
    <w:p>
      <w:pPr>
        <w:spacing w:after="100" w:before="80" w:line="276" w:lineRule="auto"/>
        <w:jc w:val="both"/>
      </w:pPr>
      <w:r>
        <w:rPr>
          <w:rFonts w:ascii="Arial" w:cs="Arial" w:eastAsia="Arial" w:hAnsi="Arial"/>
          <w:b w:val="false"/>
          <w:bCs w:val="false"/>
          <w:i w:val="false"/>
          <w:iCs w:val="false"/>
          <w:color w:val="1A1A2E"/>
          <w:sz w:val="22"/>
          <w:szCs w:val="22"/>
        </w:rPr>
        <w:t xml:space="preserve">A score of 5 on RAS means the product satisfies all five adaptability tests — like AePS, which requires only an Aadhaar biometric and works on a simple handheld terminal with intermittent connectivity. A score of 1 means the product fails all five tests and is designed exclusively for urban, smartphone-literate, high-connectivity environments.</w:t>
      </w:r>
    </w:p>
    <w:p>
      <w:pPr>
        <w:pStyle w:val="Heading3"/>
        <w:spacing w:after="80" w:before="200"/>
      </w:pPr>
      <w:r>
        <w:rPr>
          <w:rFonts w:ascii="Arial" w:cs="Arial" w:eastAsia="Arial" w:hAnsi="Arial"/>
          <w:b/>
          <w:bCs/>
          <w:color w:val="0A1628"/>
          <w:sz w:val="26"/>
          <w:szCs w:val="26"/>
        </w:rPr>
        <w:t xml:space="preserve">Axis 3: Implementation Complexity Index (ICI)</w:t>
      </w:r>
    </w:p>
    <w:p>
      <w:pPr>
        <w:spacing w:after="100" w:before="80" w:line="276" w:lineRule="auto"/>
        <w:jc w:val="both"/>
      </w:pPr>
      <w:r>
        <w:rPr>
          <w:rFonts w:ascii="Arial" w:cs="Arial" w:eastAsia="Arial" w:hAnsi="Arial"/>
          <w:b w:val="false"/>
          <w:bCs w:val="false"/>
          <w:i w:val="false"/>
          <w:iCs w:val="false"/>
          <w:color w:val="1A1A2E"/>
          <w:sz w:val="22"/>
          <w:szCs w:val="22"/>
        </w:rPr>
        <w:t xml:space="preserve">The Implementation Complexity Index scores inversely to complexity — a score of 5 means the product can be activated within 90 days at a cost below ₹25 lakhs, without requiring a dedicated IT team within the DCCB. A score of 1 indicates an implementation spanning 18 or more months, requiring capital investment above ₹5 crore, a dedicated IT staff, and multiple regulatory approvals from RBI and NPCI.</w:t>
      </w:r>
    </w:p>
    <w:p>
      <w:pPr>
        <w:spacing w:after="100" w:before="80" w:line="276" w:lineRule="auto"/>
        <w:jc w:val="both"/>
      </w:pPr>
      <w:r>
        <w:rPr>
          <w:rFonts w:ascii="Arial" w:cs="Arial" w:eastAsia="Arial" w:hAnsi="Arial"/>
          <w:b w:val="false"/>
          <w:bCs w:val="false"/>
          <w:i w:val="false"/>
          <w:iCs w:val="false"/>
          <w:color w:val="1A1A2E"/>
          <w:sz w:val="22"/>
          <w:szCs w:val="22"/>
        </w:rPr>
        <w:t xml:space="preserve">DCCB-specific complexity factors include: staff training requirements (the more complex the product, the longer and costlier the training cycle); PACS integration depth (products that require real-time PACS data integration face an additional 6–12 months of data quality normalisation work before go-live); NPCI certification needs (becoming a UPI member institution or a BBPS Operating Unit requires NPCI certification, audit, and technical testing); and RBI approval requirements for certain product categories like V-CIP remote account opening.</w:t>
      </w:r>
    </w:p>
    <w:p>
      <w:pPr>
        <w:pStyle w:val="Heading3"/>
        <w:spacing w:after="80" w:before="200"/>
      </w:pPr>
      <w:r>
        <w:rPr>
          <w:rFonts w:ascii="Arial" w:cs="Arial" w:eastAsia="Arial" w:hAnsi="Arial"/>
          <w:b/>
          <w:bCs/>
          <w:color w:val="0A1628"/>
          <w:sz w:val="26"/>
          <w:szCs w:val="26"/>
        </w:rPr>
        <w:t xml:space="preserve">Axis 4: Financial Impact Quotient (FIQ)</w:t>
      </w:r>
    </w:p>
    <w:p>
      <w:pPr>
        <w:spacing w:after="100" w:before="80" w:line="276" w:lineRule="auto"/>
        <w:jc w:val="both"/>
      </w:pPr>
      <w:r>
        <w:rPr>
          <w:rFonts w:ascii="Arial" w:cs="Arial" w:eastAsia="Arial" w:hAnsi="Arial"/>
          <w:b w:val="false"/>
          <w:bCs w:val="false"/>
          <w:i w:val="false"/>
          <w:iCs w:val="false"/>
          <w:color w:val="1A1A2E"/>
          <w:sz w:val="22"/>
          <w:szCs w:val="22"/>
        </w:rPr>
        <w:t xml:space="preserve">The Financial Impact Quotient quantifies the measurable financial return on the product investment. A score of 1 indicates minimal ROI — less than 5% cost reduction, with a break-even horizon exceeding five years. A score of 5 indicates transformational financial impact: greater than 50% cost reduction in the relevant process area, or significant new revenue generation, with break-even within 18 months.</w:t>
      </w:r>
    </w:p>
    <w:p>
      <w:pPr>
        <w:spacing w:after="100" w:before="80" w:line="276" w:lineRule="auto"/>
        <w:jc w:val="both"/>
      </w:pPr>
      <w:r>
        <w:rPr>
          <w:rFonts w:ascii="Arial" w:cs="Arial" w:eastAsia="Arial" w:hAnsi="Arial"/>
          <w:b w:val="false"/>
          <w:bCs w:val="false"/>
          <w:i w:val="false"/>
          <w:iCs w:val="false"/>
          <w:color w:val="1A1A2E"/>
          <w:sz w:val="22"/>
          <w:szCs w:val="22"/>
        </w:rPr>
        <w:t xml:space="preserve">The FIQ uses verified benchmarks exclusively: branch transaction cost of ₹35–45 reducing to ₹1–3 on mobile (93–96% cost reduction, FIQ 5); NABARD compliance cycle reducing from 780 person-hours to 90 hours (88% saving, FIQ 5); loan TAT reducing from 14–42 days to 2–5 days (60–70% reduction, FIQ 4); BBPS commission of ₹3–5 per transaction generating ₹24,000 per month per active PACS with 3,000 households (FIQ 3). The FIQ prevents DCCB boards from prioritising visually impressive technology that delivers low financial impact while deprioritising unglamorous back-office automation that delivers the highest ROI.</w:t>
      </w:r>
    </w:p>
    <w:p>
      <w:pPr>
        <w:pStyle w:val="Heading3"/>
        <w:spacing w:after="80" w:before="200"/>
      </w:pPr>
      <w:r>
        <w:rPr>
          <w:rFonts w:ascii="Arial" w:cs="Arial" w:eastAsia="Arial" w:hAnsi="Arial"/>
          <w:b/>
          <w:bCs/>
          <w:color w:val="0A1628"/>
          <w:sz w:val="26"/>
          <w:szCs w:val="26"/>
        </w:rPr>
        <w:t xml:space="preserve">Axis 5: Client Value Delivery Score (CVDS)</w:t>
      </w:r>
    </w:p>
    <w:p>
      <w:pPr>
        <w:spacing w:after="100" w:before="80" w:line="276" w:lineRule="auto"/>
        <w:jc w:val="both"/>
      </w:pPr>
      <w:r>
        <w:rPr>
          <w:rFonts w:ascii="Arial" w:cs="Arial" w:eastAsia="Arial" w:hAnsi="Arial"/>
          <w:b w:val="false"/>
          <w:bCs w:val="false"/>
          <w:i w:val="false"/>
          <w:iCs w:val="false"/>
          <w:color w:val="1A1A2E"/>
          <w:sz w:val="22"/>
          <w:szCs w:val="22"/>
        </w:rPr>
        <w:t xml:space="preserve">The Client Value Delivery Score assesses whether the product genuinely serves DCCB's core client base — farmers, SHG members, PACS members, and rural households — or whether it is fundamentally an urban-biased product that will see negligible adoption in rural cooperative banking's actual demographic. A score of 1 means the product is designed for urban, literate, high-income clients with stable connectivity and financial sophistication that rural cooperative banking clients rarely possess. A score of 5 means the product directly solves a documented, acute pain point experienced by the DCCB's core clients — such as elimination of travel to the branch for cash withdrawal (AePS) or automatic crop insurance enrollment without requiring the farmer to navigate any digital interface (PMFBY auto-enrolment at KCC disbursal).</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GBPEM Master Scoring Table — All 20 Products</w:t>
      </w:r>
    </w:p>
    <w:tbl>
      <w:tblPr>
        <w:tblW w:type="dxa" w:w="8354"/>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00"/>
        <w:gridCol w:w="600"/>
        <w:gridCol w:w="600"/>
        <w:gridCol w:w="700"/>
        <w:gridCol w:w="900"/>
        <w:gridCol w:w="19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PMS</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RAS</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ICI</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FIQ</w:t>
            </w:r>
          </w:p>
        </w:tc>
        <w:tc>
          <w:tcPr>
            <w:tcW w:type="dxa" w:w="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CVDS</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TOTAL /25</w:t>
            </w:r>
          </w:p>
        </w:tc>
        <w:tc>
          <w:tcPr>
            <w:tcW w:type="dxa" w:w="1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SSPL PRIORITY</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 Mobile Banking App</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19</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 Internet Banking Portal</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MEDIUM (staff use)</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 UPI / Digital Payments</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 Digital Account Opening / V-CIP</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 Digital KCC LOS</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 ATM / Micro-ATM / AePS</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 Insurance / Investment Distribution</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 BBPS — Utility Bill Collection</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 RuPay Debit Card / mPOS</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 WhatsApp / IVR / Chatbot</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11. Core Banking Solution (CBS)</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21</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MANDATORY</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 MIS / Analytics Dashboard</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19</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Regulatory Compliance Engine</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21</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14. NPA Early Warning System</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 NACH / eMandate</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16. HRMS and Payroll</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17. Cybersecurity Infrastructure</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MANDATORY</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18. Document Management System</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19. Treasury / SLR Tracking</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21</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 Fraud Detection / AML</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 (via SSPL)</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1.3 How SSPL Uses the GBPEM</w:t>
      </w:r>
    </w:p>
    <w:p>
      <w:pPr>
        <w:spacing w:after="100" w:before="80" w:line="276" w:lineRule="auto"/>
        <w:jc w:val="both"/>
      </w:pPr>
      <w:r>
        <w:rPr>
          <w:rFonts w:ascii="Arial" w:cs="Arial" w:eastAsia="Arial" w:hAnsi="Arial"/>
          <w:b w:val="false"/>
          <w:bCs w:val="false"/>
          <w:i w:val="false"/>
          <w:iCs w:val="false"/>
          <w:color w:val="1A1A2E"/>
          <w:sz w:val="22"/>
          <w:szCs w:val="22"/>
        </w:rPr>
        <w:t xml:space="preserve">SSPL — Sahakar Sarathi Pvt Ltd — is NABARD's shared services entity backed by the Ministry of Cooperation and NCDC, mandated to serve 130 million cooperative banking customers and targeting ₹1,500 crore in annual savings from Year 5 of full operation. The GBPEM is SSPL's primary diagnostic instrument. Before recommending any product to a DCCB, SSPL's advisory team conducts a baseline diagnostic assessment that determines the institution's current RFI category (DM, PD, or PDC), scores the GBPEM for each of the 20 product categories, and produces a prioritised product recommendation report tailored to the institution's specific gap profile, client demographics, geographic constraints, and financial capacity.</w:t>
      </w:r>
    </w:p>
    <w:p>
      <w:pPr>
        <w:spacing w:after="100" w:before="80" w:line="276" w:lineRule="auto"/>
        <w:jc w:val="both"/>
      </w:pPr>
      <w:r>
        <w:rPr>
          <w:rFonts w:ascii="Arial" w:cs="Arial" w:eastAsia="Arial" w:hAnsi="Arial"/>
          <w:b w:val="false"/>
          <w:bCs w:val="false"/>
          <w:i w:val="false"/>
          <w:iCs w:val="false"/>
          <w:color w:val="1A1A2E"/>
          <w:sz w:val="22"/>
          <w:szCs w:val="22"/>
        </w:rPr>
        <w:t xml:space="preserve">SSPL's advisory model operates across three layers. The Regulatory Compliance Layer ensures every DCCB achieves minimum RBI and NABARD compliance before any customer-facing product is deployed. This means CBS stabilisation, CRAR and SLR automation, and Aadhaar eKYC as non-negotiable prerequisites. The Operational Efficiency Layer targets the highest-ROI internal automation: compliance reporting engines, NPA early warning systems, MIS dashboards, and NACH-based loan collection. The Customer Value Layer deploys customer-facing digital products in sequence from highest-adaptability (AePS, UPI QR, RuPay card) to highest-complexity (digital KCC LOS, AI credit scoring, WhatsApp banking).</w:t>
      </w:r>
    </w:p>
    <w:p>
      <w:pPr>
        <w:spacing w:after="100" w:before="80" w:line="276" w:lineRule="auto"/>
        <w:jc w:val="both"/>
      </w:pPr>
      <w:r>
        <w:rPr>
          <w:rFonts w:ascii="Arial" w:cs="Arial" w:eastAsia="Arial" w:hAnsi="Arial"/>
          <w:b w:val="false"/>
          <w:bCs w:val="false"/>
          <w:i w:val="false"/>
          <w:iCs w:val="false"/>
          <w:color w:val="1A1A2E"/>
          <w:sz w:val="22"/>
          <w:szCs w:val="22"/>
        </w:rPr>
        <w:t xml:space="preserve">SSPL's shared services architecture delivers economies of scale that are impossible for individual DCCBs to achieve. A WhatsApp Business API endpoint hosted by SSPL and shared across all 352 DCCBs costs approximately ₹50,000–1,00,000 per year per DCCB. The same capability procured independently by each DCCB would cost ₹5–15 lakhs per institution annually. This 10–15x cost multiplier is why the SSPL shared model is the recommended delivery pathway for all products scoring below ICI 3.</w:t>
      </w:r>
    </w:p>
    <w:p>
      <w:pPr>
        <w:spacing w:after="100" w:before="80" w:line="276" w:lineRule="auto"/>
        <w:jc w:val="both"/>
      </w:pPr>
      <w:r>
        <w:rPr>
          <w:rFonts w:ascii="Arial" w:cs="Arial" w:eastAsia="Arial" w:hAnsi="Arial"/>
          <w:b w:val="false"/>
          <w:bCs w:val="false"/>
          <w:i w:val="false"/>
          <w:iCs w:val="false"/>
          <w:color w:val="1A1A2E"/>
          <w:sz w:val="22"/>
          <w:szCs w:val="22"/>
        </w:rPr>
        <w:t xml:space="preserve">The SSPL Technology Catalogue currently includes or is developing: hosted CBS-SaaS for cooperative banks; UPI integration endpoint; AML/KYC shared compliance engine; regulatory reporting automation (ENSURE portal integration); MIS platform; digital lending platform (KCC LOS); cybersecurity SOC shared services; BC network management platform; HRMS shared service; eLearning and staff training platform; and customer IVR in regional languages.</w:t>
      </w:r>
    </w:p>
    <w:p>
      <w:pPr>
        <w:spacing w:after="100" w:before="80" w:line="276" w:lineRule="auto"/>
        <w:jc w:val="both"/>
      </w:pPr>
      <w:r>
        <w:rPr>
          <w:rFonts w:ascii="Arial" w:cs="Arial" w:eastAsia="Arial" w:hAnsi="Arial"/>
          <w:b w:val="false"/>
          <w:bCs w:val="false"/>
          <w:i w:val="false"/>
          <w:iCs w:val="false"/>
          <w:color w:val="1A1A2E"/>
          <w:sz w:val="22"/>
          <w:szCs w:val="22"/>
        </w:rPr>
        <w:t xml:space="preserve">SSPL's advisory cadence follows a structured annual cycle. Months 1–2 are dedicated to baseline diagnostic assessment using the GBPEM framework. Month 3 sees the product recommendation report delivered to the DCCB board. Months 4–6 cover Phase 1 quick-win implementation with SSPL handholding support. Month 6 marks the first performance review against Phase 1 KPI targets. Months 7–12 support Phase 2 implementation. Month 12 produces the Annual DCCB Digital Effectiveness Index (ADEI) score, a composite metric published by SSPL and NABARD that allows peer benchmarking across all DCCBs in a state. Months 13–36 follow Phase 2 and Phase 3 implementation through to the full 3-year roadmap completion and next-cycle initiation.</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54"/>
      </w:tblGrid>
      <w:tr>
        <w:trPr>
          <w:tblHeader/>
        </w:trPr>
        <w:tc>
          <w:tcPr>
            <w:tcW w:type="dxa" w:w="3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ITEM</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STANDALONE DCCB</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SSPL SHARED MODEL</w:t>
            </w:r>
          </w:p>
        </w:tc>
        <w:tc>
          <w:tcPr>
            <w:tcW w:type="dxa" w:w="21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SAVING</w:t>
            </w:r>
          </w:p>
        </w:tc>
      </w:tr>
      <w:tr>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Hosting (annual)</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₹8–15 lakhs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 lakhs</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~70%</w:t>
            </w:r>
          </w:p>
        </w:tc>
      </w:tr>
      <w:tr>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WhatsApp Banking API</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₹5–15 lakhs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₹50K–1 lakh</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~90%</w:t>
            </w:r>
          </w:p>
        </w:tc>
      </w:tr>
      <w:tr>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AML / Compliance Engine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₹10–30 lakhs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w:t>
            </w:r>
          </w:p>
        </w:tc>
      </w:tr>
      <w:tr>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Cybersecurity SOC</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₹50–100 lakhs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~93%</w:t>
            </w:r>
          </w:p>
        </w:tc>
      </w:tr>
      <w:tr>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Regulatory Reporting Engine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₹5–12 lakhs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lakhs</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~83%</w:t>
            </w:r>
          </w:p>
        </w:tc>
      </w:tr>
      <w:tr>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MIS / BI Platform</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₹0.5–1 lakh</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~87%</w:t>
            </w:r>
          </w:p>
        </w:tc>
      </w:tr>
      <w:tr>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HRMS SaaS (200 staff)</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 lakhs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lakhs</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w:t>
            </w:r>
          </w:p>
        </w:tc>
      </w:tr>
      <w:tr>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TOTAL ESTIMATED (annual)</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₹84–185 lakhs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₹8–21 lakhs</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~88%</w:t>
            </w:r>
          </w:p>
        </w:tc>
      </w:tr>
    </w:tbl>
    <w:p>
      <w:pPr>
        <w:spacing w:after="80" w:before="80"/>
      </w:pPr>
      <w:r>
        <w:t xml:space="preserve"/>
      </w:r>
    </w:p>
    <w:p>
      <w:r>
        <w:br w:type="page"/>
      </w:r>
    </w:p>
    <w:p>
      <w:pPr>
        <w:pStyle w:val="Heading1"/>
        <w:pBdr>
          <w:bottom w:val="single" w:color="0E8A8A" w:sz="8" w:space="4"/>
        </w:pBdr>
        <w:spacing w:after="160" w:before="340"/>
      </w:pPr>
      <w:r>
        <w:rPr>
          <w:rFonts w:ascii="Arial" w:cs="Arial" w:eastAsia="Arial" w:hAnsi="Arial"/>
          <w:b/>
          <w:bCs/>
          <w:color w:val="0A1628"/>
          <w:sz w:val="40"/>
          <w:szCs w:val="40"/>
        </w:rPr>
        <w:t xml:space="preserve">Section 2: The Three-Category RFI Classification Framework</w:t>
      </w:r>
    </w:p>
    <w:p>
      <w:pPr>
        <w:spacing w:after="100" w:before="80" w:line="276" w:lineRule="auto"/>
        <w:jc w:val="both"/>
      </w:pPr>
      <w:r>
        <w:rPr>
          <w:rFonts w:ascii="Arial" w:cs="Arial" w:eastAsia="Arial" w:hAnsi="Arial"/>
          <w:b w:val="false"/>
          <w:bCs w:val="false"/>
          <w:i w:val="false"/>
          <w:iCs w:val="false"/>
          <w:color w:val="1A1A2E"/>
          <w:sz w:val="22"/>
          <w:szCs w:val="22"/>
        </w:rPr>
        <w:t xml:space="preserve">The three-category RFI Classification Framework is the structural backbone of this entire report. Every product recommendation, implementation workflow, performance target, and strategic roadmap is differentiated by these three categories. The framework recognises that applying a single digital transformation prescription to all 352 DCCBs — institutions that range from the technology-sophisticated Pune District Central Cooperative Bank serving urban and peri-urban populations to the nascent cooperative banks of Nagaland serving largely subsistence-farming tribal communities — would be analytically irresponsible and practically counterproductive.</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2.1 Category 1: Digitally Mature RFI (DM-RFI)</w:t>
      </w:r>
    </w:p>
    <w:p>
      <w:pPr>
        <w:spacing w:after="100" w:before="80" w:line="276" w:lineRule="auto"/>
        <w:jc w:val="both"/>
      </w:pPr>
      <w:r>
        <w:rPr>
          <w:rFonts w:ascii="Arial" w:cs="Arial" w:eastAsia="Arial" w:hAnsi="Arial"/>
          <w:b w:val="false"/>
          <w:bCs w:val="false"/>
          <w:i w:val="false"/>
          <w:iCs w:val="false"/>
          <w:color w:val="1A1A2E"/>
          <w:sz w:val="22"/>
          <w:szCs w:val="22"/>
        </w:rPr>
        <w:t xml:space="preserve">A Digitally Mature RFI is a DCCB that has progressed beyond CBS adoption into meaningful digital integration across customer-facing and operational functions. DM-RFIs are characterised by active digital transaction volumes, functional PACS linkages, analytics capability, and a staff population with meaningful digital competency. They are the ready recipients of AI, advanced analytics, and SSPL's most sophisticated shared services.</w:t>
      </w:r>
    </w:p>
    <w:p>
      <w:pPr>
        <w:pStyle w:val="Heading3"/>
        <w:spacing w:after="80" w:before="200"/>
      </w:pPr>
      <w:r>
        <w:rPr>
          <w:rFonts w:ascii="Arial" w:cs="Arial" w:eastAsia="Arial" w:hAnsi="Arial"/>
          <w:b/>
          <w:bCs/>
          <w:color w:val="0A1628"/>
          <w:sz w:val="26"/>
          <w:szCs w:val="26"/>
        </w:rPr>
        <w:t xml:space="preserve">Entry Criteria — All 10 conditions must be met:</w:t>
      </w:r>
    </w:p>
    <w:p>
      <w:pPr>
        <w:pStyle w:val="ListParagraph"/>
        <w:numPr>
          <w:ilvl w:val="0"/>
          <w:numId w:val="2"/>
        </w:numPr>
        <w:spacing w:after="40" w:before="40" w:line="276" w:lineRule="auto"/>
      </w:pPr>
      <w:r>
        <w:rPr>
          <w:rFonts w:ascii="Arial" w:cs="Arial" w:eastAsia="Arial" w:hAnsi="Arial"/>
          <w:color w:val="1A1A2E"/>
          <w:sz w:val="22"/>
          <w:szCs w:val="22"/>
        </w:rPr>
        <w:t xml:space="preserve">Full CBS go-live at 100% of branches with zero offline branches</w:t>
      </w:r>
    </w:p>
    <w:p>
      <w:pPr>
        <w:pStyle w:val="ListParagraph"/>
        <w:numPr>
          <w:ilvl w:val="0"/>
          <w:numId w:val="2"/>
        </w:numPr>
        <w:spacing w:after="40" w:before="40" w:line="276" w:lineRule="auto"/>
      </w:pPr>
      <w:r>
        <w:rPr>
          <w:rFonts w:ascii="Arial" w:cs="Arial" w:eastAsia="Arial" w:hAnsi="Arial"/>
          <w:color w:val="1A1A2E"/>
          <w:sz w:val="22"/>
          <w:szCs w:val="22"/>
        </w:rPr>
        <w:t xml:space="preserve">Real-time CBS with inter-branch online capability (not batch CBS)</w:t>
      </w:r>
    </w:p>
    <w:p>
      <w:pPr>
        <w:pStyle w:val="ListParagraph"/>
        <w:numPr>
          <w:ilvl w:val="0"/>
          <w:numId w:val="2"/>
        </w:numPr>
        <w:spacing w:after="40" w:before="40" w:line="276" w:lineRule="auto"/>
      </w:pPr>
      <w:r>
        <w:rPr>
          <w:rFonts w:ascii="Arial" w:cs="Arial" w:eastAsia="Arial" w:hAnsi="Arial"/>
          <w:color w:val="1A1A2E"/>
          <w:sz w:val="22"/>
          <w:szCs w:val="22"/>
        </w:rPr>
        <w:t xml:space="preserve">Active UPI endpoint for at least 12 months with &gt;1,000 monthly UPI transactions</w:t>
      </w:r>
    </w:p>
    <w:p>
      <w:pPr>
        <w:pStyle w:val="ListParagraph"/>
        <w:numPr>
          <w:ilvl w:val="0"/>
          <w:numId w:val="2"/>
        </w:numPr>
        <w:spacing w:after="40" w:before="40" w:line="276" w:lineRule="auto"/>
      </w:pPr>
      <w:r>
        <w:rPr>
          <w:rFonts w:ascii="Arial" w:cs="Arial" w:eastAsia="Arial" w:hAnsi="Arial"/>
          <w:color w:val="1A1A2E"/>
          <w:sz w:val="22"/>
          <w:szCs w:val="22"/>
        </w:rPr>
        <w:t xml:space="preserve">RuPay debit card issuance to &gt;60% of savings account holders</w:t>
      </w:r>
    </w:p>
    <w:p>
      <w:pPr>
        <w:pStyle w:val="ListParagraph"/>
        <w:numPr>
          <w:ilvl w:val="0"/>
          <w:numId w:val="2"/>
        </w:numPr>
        <w:spacing w:after="40" w:before="40" w:line="276" w:lineRule="auto"/>
      </w:pPr>
      <w:r>
        <w:rPr>
          <w:rFonts w:ascii="Arial" w:cs="Arial" w:eastAsia="Arial" w:hAnsi="Arial"/>
          <w:color w:val="1A1A2E"/>
          <w:sz w:val="22"/>
          <w:szCs w:val="22"/>
        </w:rPr>
        <w:t xml:space="preserve">Aadhaar eKYC operational at all branch points (not just HQ)</w:t>
      </w:r>
    </w:p>
    <w:p>
      <w:pPr>
        <w:pStyle w:val="ListParagraph"/>
        <w:numPr>
          <w:ilvl w:val="0"/>
          <w:numId w:val="2"/>
        </w:numPr>
        <w:spacing w:after="40" w:before="40" w:line="276" w:lineRule="auto"/>
      </w:pPr>
      <w:r>
        <w:rPr>
          <w:rFonts w:ascii="Arial" w:cs="Arial" w:eastAsia="Arial" w:hAnsi="Arial"/>
          <w:color w:val="1A1A2E"/>
          <w:sz w:val="22"/>
          <w:szCs w:val="22"/>
        </w:rPr>
        <w:t xml:space="preserve">NACH/eMandate live for at least 30% of loan repayment accounts</w:t>
      </w:r>
    </w:p>
    <w:p>
      <w:pPr>
        <w:pStyle w:val="ListParagraph"/>
        <w:numPr>
          <w:ilvl w:val="0"/>
          <w:numId w:val="2"/>
        </w:numPr>
        <w:spacing w:after="40" w:before="40" w:line="276" w:lineRule="auto"/>
      </w:pPr>
      <w:r>
        <w:rPr>
          <w:rFonts w:ascii="Arial" w:cs="Arial" w:eastAsia="Arial" w:hAnsi="Arial"/>
          <w:color w:val="1A1A2E"/>
          <w:sz w:val="22"/>
          <w:szCs w:val="22"/>
        </w:rPr>
        <w:t xml:space="preserve">MIS reporting compressed to within 3 working days of period-end close</w:t>
      </w:r>
    </w:p>
    <w:p>
      <w:pPr>
        <w:pStyle w:val="ListParagraph"/>
        <w:numPr>
          <w:ilvl w:val="0"/>
          <w:numId w:val="2"/>
        </w:numPr>
        <w:spacing w:after="40" w:before="40" w:line="276" w:lineRule="auto"/>
      </w:pPr>
      <w:r>
        <w:rPr>
          <w:rFonts w:ascii="Arial" w:cs="Arial" w:eastAsia="Arial" w:hAnsi="Arial"/>
          <w:color w:val="1A1A2E"/>
          <w:sz w:val="22"/>
          <w:szCs w:val="22"/>
        </w:rPr>
        <w:t xml:space="preserve">PACS ERP integration live for at least 50% of PACS under the DCCB</w:t>
      </w:r>
    </w:p>
    <w:p>
      <w:pPr>
        <w:pStyle w:val="ListParagraph"/>
        <w:numPr>
          <w:ilvl w:val="0"/>
          <w:numId w:val="2"/>
        </w:numPr>
        <w:spacing w:after="40" w:before="40" w:line="276" w:lineRule="auto"/>
      </w:pPr>
      <w:r>
        <w:rPr>
          <w:rFonts w:ascii="Arial" w:cs="Arial" w:eastAsia="Arial" w:hAnsi="Arial"/>
          <w:color w:val="1A1A2E"/>
          <w:sz w:val="22"/>
          <w:szCs w:val="22"/>
        </w:rPr>
        <w:t xml:space="preserve">Dedicated IT officer with CBS admin capability (not vendor-dependent)</w:t>
      </w:r>
    </w:p>
    <w:p>
      <w:pPr>
        <w:pStyle w:val="ListParagraph"/>
        <w:numPr>
          <w:ilvl w:val="0"/>
          <w:numId w:val="2"/>
        </w:numPr>
        <w:spacing w:after="40" w:before="40" w:line="276" w:lineRule="auto"/>
      </w:pPr>
      <w:r>
        <w:rPr>
          <w:rFonts w:ascii="Arial" w:cs="Arial" w:eastAsia="Arial" w:hAnsi="Arial"/>
          <w:color w:val="1A1A2E"/>
          <w:sz w:val="22"/>
          <w:szCs w:val="22"/>
        </w:rPr>
        <w:t xml:space="preserve">CRAR and SLR computation at least semi-automated (CBS extract to Excel model — not fully manual)</w:t>
      </w:r>
    </w:p>
    <w:p>
      <w:pPr>
        <w:spacing w:after="80" w:before="80"/>
      </w:pPr>
      <w:r>
        <w:t xml:space="preserve"/>
      </w:r>
    </w:p>
    <w:p>
      <w:pPr>
        <w:spacing w:after="100" w:before="80" w:line="276" w:lineRule="auto"/>
        <w:jc w:val="both"/>
      </w:pPr>
      <w:r>
        <w:rPr>
          <w:rFonts w:ascii="Arial" w:cs="Arial" w:eastAsia="Arial" w:hAnsi="Arial"/>
          <w:b w:val="false"/>
          <w:bCs w:val="false"/>
          <w:i w:val="false"/>
          <w:iCs w:val="false"/>
          <w:color w:val="1A1A2E"/>
          <w:sz w:val="22"/>
          <w:szCs w:val="22"/>
        </w:rPr>
        <w:t xml:space="preserve">Named real-world examples include Saraswat Co-operative Bank, Cosmos Bank, and the Pune District Central Cooperative Bank in Maharashtra, the Surat District Co-operative Bank and Ahmedabad DCCB in Gujarat, and select Karnataka DCCBs in the Bengaluru-Mysore corridor where urban cooperative banks have been early technology adopters.</w:t>
      </w:r>
    </w:p>
    <w:p>
      <w:pPr>
        <w:spacing w:after="100" w:before="80" w:line="276" w:lineRule="auto"/>
        <w:jc w:val="both"/>
      </w:pPr>
      <w:r>
        <w:rPr>
          <w:rFonts w:ascii="Arial" w:cs="Arial" w:eastAsia="Arial" w:hAnsi="Arial"/>
          <w:b w:val="false"/>
          <w:bCs w:val="false"/>
          <w:i w:val="false"/>
          <w:iCs w:val="false"/>
          <w:color w:val="1A1A2E"/>
          <w:sz w:val="22"/>
          <w:szCs w:val="22"/>
        </w:rPr>
        <w:t xml:space="preserve">DM-RFIs represent approximately 15–20% of India's 352 DCCBs, or roughly 55–70 institutions. They are concentrated heavily in Zone 1 of the regional digital belt — Maharashtra, Gujarat, Karnataka, Andhra Pradesh, and Telangana. SSPL's advisory posture for DM-RFIs is "Optimisation and Advanced AI Integration." The primary gaps to address are: enabling the CBS analytics layer (API access for BI and AI tools); AI credit scoring using satellite NDVI data, weather APIs, and PM Kisan database cross-referencing; completing PACS-level digital coverage (the last 20–50% of PACS still on paper); and enabling third-party fintech integrations through CBS APIs for products like e-NWR-based lending and FPO supply chain finance.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0E8A8A" w:sz="20"/>
              <w:bottom w:val="none" w:color="FFFFFF" w:sz="0"/>
              <w:right w:val="none" w:color="FFFFFF" w:sz="0"/>
            </w:tcBorders>
            <w:shd w:fill="F0F8F8" w:val="clear"/>
            <w:tcMar>
              <w:top w:type="dxa" w:w="120"/>
              <w:left w:type="dxa" w:w="240"/>
              <w:bottom w:type="dxa" w:w="120"/>
              <w:right w:type="dxa" w:w="120"/>
            </w:tcMar>
          </w:tcPr>
          <w:p>
            <w:pPr>
              <w:spacing w:after="0" w:before="0"/>
            </w:pPr>
            <w:r>
              <w:rPr>
                <w:rFonts w:ascii="Arial" w:cs="Arial" w:eastAsia="Arial" w:hAnsi="Arial"/>
                <w:i/>
                <w:iCs/>
                <w:color w:val="1A3A50"/>
                <w:sz w:val="20"/>
                <w:szCs w:val="20"/>
              </w:rPr>
              <w:t xml:space="preserve">DM-RFI SSPL Advisory Posture: "Optimisation and Advanced AI Integration." Focus on API enablement, satellite-linked credit scoring, PACS completion, and SSPL SOC connectivity. Competitive advantage window: 24–36 months before mid-tier banks match cooperative CBS capabilities.</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2.2 Category 2: Partially Digitalised RFI (PD-RFI)</w:t>
      </w:r>
    </w:p>
    <w:p>
      <w:pPr>
        <w:spacing w:after="100" w:before="80" w:line="276" w:lineRule="auto"/>
        <w:jc w:val="both"/>
      </w:pPr>
      <w:r>
        <w:rPr>
          <w:rFonts w:ascii="Arial" w:cs="Arial" w:eastAsia="Arial" w:hAnsi="Arial"/>
          <w:b w:val="false"/>
          <w:bCs w:val="false"/>
          <w:i w:val="false"/>
          <w:iCs w:val="false"/>
          <w:color w:val="1A1A2E"/>
          <w:sz w:val="22"/>
          <w:szCs w:val="22"/>
        </w:rPr>
        <w:t xml:space="preserve">A Partially Digitalised RFI operates a functional CBS but has significant gaps in the digital product ecosystem — typically in customer-facing channels, PACS integration, regulatory automation, and analytics. PD-RFIs have made the foundational investment in CBS but have not yet extracted its full operational or commercial value. They represent the largest category and the highest-priority segment for SSPL's Phase 1 and Phase 2 implementation services.</w:t>
      </w:r>
    </w:p>
    <w:p>
      <w:pPr>
        <w:pStyle w:val="Heading3"/>
        <w:spacing w:after="80" w:before="200"/>
      </w:pPr>
      <w:r>
        <w:rPr>
          <w:rFonts w:ascii="Arial" w:cs="Arial" w:eastAsia="Arial" w:hAnsi="Arial"/>
          <w:b/>
          <w:bCs/>
          <w:color w:val="0A1628"/>
          <w:sz w:val="26"/>
          <w:szCs w:val="26"/>
        </w:rPr>
        <w:t xml:space="preserve">Entry Criteria — Mixed conditions (Has / Lacks):</w:t>
      </w:r>
    </w:p>
    <w:p>
      <w:pPr>
        <w:pStyle w:val="ListParagraph"/>
        <w:numPr>
          <w:ilvl w:val="0"/>
          <w:numId w:val="2"/>
        </w:numPr>
        <w:spacing w:after="40" w:before="40" w:line="276" w:lineRule="auto"/>
      </w:pPr>
      <w:r>
        <w:rPr>
          <w:rFonts w:ascii="Arial" w:cs="Arial" w:eastAsia="Arial" w:hAnsi="Arial"/>
          <w:color w:val="1A1A2E"/>
          <w:sz w:val="22"/>
          <w:szCs w:val="22"/>
        </w:rPr>
        <w:t xml:space="preserve">HAS: CBS live at HQ and most branches; some branches may still be in onboarding</w:t>
      </w:r>
    </w:p>
    <w:p>
      <w:pPr>
        <w:pStyle w:val="ListParagraph"/>
        <w:numPr>
          <w:ilvl w:val="0"/>
          <w:numId w:val="2"/>
        </w:numPr>
        <w:spacing w:after="40" w:before="40" w:line="276" w:lineRule="auto"/>
      </w:pPr>
      <w:r>
        <w:rPr>
          <w:rFonts w:ascii="Arial" w:cs="Arial" w:eastAsia="Arial" w:hAnsi="Arial"/>
          <w:color w:val="1A1A2E"/>
          <w:sz w:val="22"/>
          <w:szCs w:val="22"/>
        </w:rPr>
        <w:t xml:space="preserve">HAS: Aadhaar eKYC at HQ branch at minimum</w:t>
      </w:r>
    </w:p>
    <w:p>
      <w:pPr>
        <w:pStyle w:val="ListParagraph"/>
        <w:numPr>
          <w:ilvl w:val="0"/>
          <w:numId w:val="2"/>
        </w:numPr>
        <w:spacing w:after="40" w:before="40" w:line="276" w:lineRule="auto"/>
      </w:pPr>
      <w:r>
        <w:rPr>
          <w:rFonts w:ascii="Arial" w:cs="Arial" w:eastAsia="Arial" w:hAnsi="Arial"/>
          <w:color w:val="1A1A2E"/>
          <w:sz w:val="22"/>
          <w:szCs w:val="22"/>
        </w:rPr>
        <w:t xml:space="preserve">HAS: RuPay card issuance to at least 30% of savings account holders</w:t>
      </w:r>
    </w:p>
    <w:p>
      <w:pPr>
        <w:pStyle w:val="ListParagraph"/>
        <w:numPr>
          <w:ilvl w:val="0"/>
          <w:numId w:val="2"/>
        </w:numPr>
        <w:spacing w:after="40" w:before="40" w:line="276" w:lineRule="auto"/>
      </w:pPr>
      <w:r>
        <w:rPr>
          <w:rFonts w:ascii="Arial" w:cs="Arial" w:eastAsia="Arial" w:hAnsi="Arial"/>
          <w:color w:val="1A1A2E"/>
          <w:sz w:val="22"/>
          <w:szCs w:val="22"/>
        </w:rPr>
        <w:t xml:space="preserve">HAS: NACH mandate set up for some loan categories but not all</w:t>
      </w:r>
    </w:p>
    <w:p>
      <w:pPr>
        <w:pStyle w:val="ListParagraph"/>
        <w:numPr>
          <w:ilvl w:val="0"/>
          <w:numId w:val="2"/>
        </w:numPr>
        <w:spacing w:after="40" w:before="40" w:line="276" w:lineRule="auto"/>
      </w:pPr>
      <w:r>
        <w:rPr>
          <w:rFonts w:ascii="Arial" w:cs="Arial" w:eastAsia="Arial" w:hAnsi="Arial"/>
          <w:color w:val="1A1A2E"/>
          <w:sz w:val="22"/>
          <w:szCs w:val="22"/>
        </w:rPr>
        <w:t xml:space="preserve">LACKS: Full PACS ERP integration — fewer than 50% of PACS digitally linked</w:t>
      </w:r>
    </w:p>
    <w:p>
      <w:pPr>
        <w:pStyle w:val="ListParagraph"/>
        <w:numPr>
          <w:ilvl w:val="0"/>
          <w:numId w:val="2"/>
        </w:numPr>
        <w:spacing w:after="40" w:before="40" w:line="276" w:lineRule="auto"/>
      </w:pPr>
      <w:r>
        <w:rPr>
          <w:rFonts w:ascii="Arial" w:cs="Arial" w:eastAsia="Arial" w:hAnsi="Arial"/>
          <w:color w:val="1A1A2E"/>
          <w:sz w:val="22"/>
          <w:szCs w:val="22"/>
        </w:rPr>
        <w:t xml:space="preserve">LACKS: Functional UPI endpoint or active mobile banking channel</w:t>
      </w:r>
    </w:p>
    <w:p>
      <w:pPr>
        <w:pStyle w:val="ListParagraph"/>
        <w:numPr>
          <w:ilvl w:val="0"/>
          <w:numId w:val="2"/>
        </w:numPr>
        <w:spacing w:after="40" w:before="40" w:line="276" w:lineRule="auto"/>
      </w:pPr>
      <w:r>
        <w:rPr>
          <w:rFonts w:ascii="Arial" w:cs="Arial" w:eastAsia="Arial" w:hAnsi="Arial"/>
          <w:color w:val="1A1A2E"/>
          <w:sz w:val="22"/>
          <w:szCs w:val="22"/>
        </w:rPr>
        <w:t xml:space="preserve">LACKS: NPA tracking beyond periodic manual reviews in Excel</w:t>
      </w:r>
    </w:p>
    <w:p>
      <w:pPr>
        <w:pStyle w:val="ListParagraph"/>
        <w:numPr>
          <w:ilvl w:val="0"/>
          <w:numId w:val="2"/>
        </w:numPr>
        <w:spacing w:after="40" w:before="40" w:line="276" w:lineRule="auto"/>
      </w:pPr>
      <w:r>
        <w:rPr>
          <w:rFonts w:ascii="Arial" w:cs="Arial" w:eastAsia="Arial" w:hAnsi="Arial"/>
          <w:color w:val="1A1A2E"/>
          <w:sz w:val="22"/>
          <w:szCs w:val="22"/>
        </w:rPr>
        <w:t xml:space="preserve">LACKS: Automated CRAR/SLR computation — still fully Excel-based</w:t>
      </w:r>
    </w:p>
    <w:p>
      <w:pPr>
        <w:pStyle w:val="ListParagraph"/>
        <w:numPr>
          <w:ilvl w:val="0"/>
          <w:numId w:val="2"/>
        </w:numPr>
        <w:spacing w:after="40" w:before="40" w:line="276" w:lineRule="auto"/>
      </w:pPr>
      <w:r>
        <w:rPr>
          <w:rFonts w:ascii="Arial" w:cs="Arial" w:eastAsia="Arial" w:hAnsi="Arial"/>
          <w:color w:val="1A1A2E"/>
          <w:sz w:val="22"/>
          <w:szCs w:val="22"/>
        </w:rPr>
        <w:t xml:space="preserve">LACKS: Active BC agent network with micro-ATM deployment</w:t>
      </w:r>
    </w:p>
    <w:p>
      <w:pPr>
        <w:pStyle w:val="ListParagraph"/>
        <w:numPr>
          <w:ilvl w:val="0"/>
          <w:numId w:val="2"/>
        </w:numPr>
        <w:spacing w:after="40" w:before="40" w:line="276" w:lineRule="auto"/>
      </w:pPr>
      <w:r>
        <w:rPr>
          <w:rFonts w:ascii="Arial" w:cs="Arial" w:eastAsia="Arial" w:hAnsi="Arial"/>
          <w:color w:val="1A1A2E"/>
          <w:sz w:val="22"/>
          <w:szCs w:val="22"/>
        </w:rPr>
        <w:t xml:space="preserve">LACKS: MIS/BI dashboard — management decisions based on manually compiled reports</w:t>
      </w:r>
    </w:p>
    <w:p>
      <w:pPr>
        <w:spacing w:after="80" w:before="80"/>
      </w:pPr>
      <w:r>
        <w:t xml:space="preserve"/>
      </w:r>
    </w:p>
    <w:p>
      <w:pPr>
        <w:spacing w:after="100" w:before="80" w:line="276" w:lineRule="auto"/>
        <w:jc w:val="both"/>
      </w:pPr>
      <w:r>
        <w:rPr>
          <w:rFonts w:ascii="Arial" w:cs="Arial" w:eastAsia="Arial" w:hAnsi="Arial"/>
          <w:b w:val="false"/>
          <w:bCs w:val="false"/>
          <w:i w:val="false"/>
          <w:iCs w:val="false"/>
          <w:color w:val="1A1A2E"/>
          <w:sz w:val="22"/>
          <w:szCs w:val="22"/>
        </w:rPr>
        <w:t xml:space="preserve">PD-RFIs are the dominant category in Madhya Pradesh, Uttar Pradesh, Bihar, Rajasthan, Jharkhand, Himachal Pradesh, and Uttarakhand — states where NABARD has been actively deploying CBS and PACS computerisation but where adoption depth remains shallow. Most DCCBs in eastern UP, where field diagnostics documented for this report were conducted, fall into the PD-RFI category.</w:t>
      </w:r>
    </w:p>
    <w:p>
      <w:pPr>
        <w:spacing w:after="100" w:before="80" w:line="276" w:lineRule="auto"/>
        <w:jc w:val="both"/>
      </w:pPr>
      <w:r>
        <w:rPr>
          <w:rFonts w:ascii="Arial" w:cs="Arial" w:eastAsia="Arial" w:hAnsi="Arial"/>
          <w:b w:val="false"/>
          <w:bCs w:val="false"/>
          <w:i w:val="false"/>
          <w:iCs w:val="false"/>
          <w:color w:val="1A1A2E"/>
          <w:sz w:val="22"/>
          <w:szCs w:val="22"/>
        </w:rPr>
        <w:t xml:space="preserve">PD-RFIs represent approximately 55–60% of India's 352 DCCBs — between 195 and 210 institutions. SSPL's advisory posture is "Completion and Consolidation." Primary gaps to address: achieving full PACS ERP data quality and digital linkage; activating NACH for seasonal agricultural repayment; deploying BC agent networks with micro-ATM capability; registering as a BBPS Operating Unit for bill collection revenue; and establishing a functional MIS dashboard for branch-level monitoring.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0E8A8A" w:sz="20"/>
              <w:bottom w:val="none" w:color="FFFFFF" w:sz="0"/>
              <w:right w:val="none" w:color="FFFFFF" w:sz="0"/>
            </w:tcBorders>
            <w:shd w:fill="F0F8F8" w:val="clear"/>
            <w:tcMar>
              <w:top w:type="dxa" w:w="120"/>
              <w:left w:type="dxa" w:w="240"/>
              <w:bottom w:type="dxa" w:w="120"/>
              <w:right w:type="dxa" w:w="120"/>
            </w:tcMar>
          </w:tcPr>
          <w:p>
            <w:pPr>
              <w:spacing w:after="0" w:before="0"/>
            </w:pPr>
            <w:r>
              <w:rPr>
                <w:rFonts w:ascii="Arial" w:cs="Arial" w:eastAsia="Arial" w:hAnsi="Arial"/>
                <w:i/>
                <w:iCs/>
                <w:color w:val="1A3A50"/>
                <w:sz w:val="20"/>
                <w:szCs w:val="20"/>
              </w:rPr>
              <w:t xml:space="preserve">PD-RFI SSPL Advisory Posture: "Completion and Consolidation." SSPL's highest-volume implementation work sits in this category. Phase 1 priorities: PACS ERP data quality, seasonal NACH mandate, BC micro-ATM rollout, and semi-automated compliance engine. Each of these directly impacts DCCB's bottom line within 6–12 months of deployment.</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2.3 Category 3: Pre-Digital / Digitalization Commencing (PDC-RFI)</w:t>
      </w:r>
    </w:p>
    <w:p>
      <w:pPr>
        <w:spacing w:after="100" w:before="80" w:line="276" w:lineRule="auto"/>
        <w:jc w:val="both"/>
      </w:pPr>
      <w:r>
        <w:rPr>
          <w:rFonts w:ascii="Arial" w:cs="Arial" w:eastAsia="Arial" w:hAnsi="Arial"/>
          <w:b w:val="false"/>
          <w:bCs w:val="false"/>
          <w:i w:val="false"/>
          <w:iCs w:val="false"/>
          <w:color w:val="1A1A2E"/>
          <w:sz w:val="22"/>
          <w:szCs w:val="22"/>
        </w:rPr>
        <w:t xml:space="preserve">A Pre-Digital or Digitalization Commencing RFI is either in the process of initial CBS deployment, has recently achieved a minimal CBS go-live, or is operating a CBS in name only — with significant branches still offline, significant data quality issues, and negligible digital transaction volumes. PDC-RFIs face not just a technology gap but frequently an infrastructure gap (poor connectivity, inadequate hardware) and a human capital gap (staff with minimal digital competency, resistance to change, high average age among frontline employees).</w:t>
      </w:r>
    </w:p>
    <w:p>
      <w:pPr>
        <w:pStyle w:val="Heading3"/>
        <w:spacing w:after="80" w:before="200"/>
      </w:pPr>
      <w:r>
        <w:rPr>
          <w:rFonts w:ascii="Arial" w:cs="Arial" w:eastAsia="Arial" w:hAnsi="Arial"/>
          <w:b/>
          <w:bCs/>
          <w:color w:val="0A1628"/>
          <w:sz w:val="26"/>
          <w:szCs w:val="26"/>
        </w:rPr>
        <w:t xml:space="preserve">Entry Criteria — Specific limiting conditions:</w:t>
      </w:r>
    </w:p>
    <w:p>
      <w:pPr>
        <w:pStyle w:val="ListParagraph"/>
        <w:numPr>
          <w:ilvl w:val="0"/>
          <w:numId w:val="2"/>
        </w:numPr>
        <w:spacing w:after="40" w:before="40" w:line="276" w:lineRule="auto"/>
      </w:pPr>
      <w:r>
        <w:rPr>
          <w:rFonts w:ascii="Arial" w:cs="Arial" w:eastAsia="Arial" w:hAnsi="Arial"/>
          <w:color w:val="1A1A2E"/>
          <w:sz w:val="22"/>
          <w:szCs w:val="22"/>
        </w:rPr>
        <w:t xml:space="preserve">CBS deployed at HQ but fewer than 60% of branches live and operational</w:t>
      </w:r>
    </w:p>
    <w:p>
      <w:pPr>
        <w:pStyle w:val="ListParagraph"/>
        <w:numPr>
          <w:ilvl w:val="0"/>
          <w:numId w:val="2"/>
        </w:numPr>
        <w:spacing w:after="40" w:before="40" w:line="276" w:lineRule="auto"/>
      </w:pPr>
      <w:r>
        <w:rPr>
          <w:rFonts w:ascii="Arial" w:cs="Arial" w:eastAsia="Arial" w:hAnsi="Arial"/>
          <w:color w:val="1A1A2E"/>
          <w:sz w:val="22"/>
          <w:szCs w:val="22"/>
        </w:rPr>
        <w:t xml:space="preserve">OR CBS live but in batch mode only — no real-time inter-branch capability</w:t>
      </w:r>
    </w:p>
    <w:p>
      <w:pPr>
        <w:pStyle w:val="ListParagraph"/>
        <w:numPr>
          <w:ilvl w:val="0"/>
          <w:numId w:val="2"/>
        </w:numPr>
        <w:spacing w:after="40" w:before="40" w:line="276" w:lineRule="auto"/>
      </w:pPr>
      <w:r>
        <w:rPr>
          <w:rFonts w:ascii="Arial" w:cs="Arial" w:eastAsia="Arial" w:hAnsi="Arial"/>
          <w:color w:val="1A1A2E"/>
          <w:sz w:val="22"/>
          <w:szCs w:val="22"/>
        </w:rPr>
        <w:t xml:space="preserve">Aadhaar eKYC not yet live at any branch</w:t>
      </w:r>
    </w:p>
    <w:p>
      <w:pPr>
        <w:pStyle w:val="ListParagraph"/>
        <w:numPr>
          <w:ilvl w:val="0"/>
          <w:numId w:val="2"/>
        </w:numPr>
        <w:spacing w:after="40" w:before="40" w:line="276" w:lineRule="auto"/>
      </w:pPr>
      <w:r>
        <w:rPr>
          <w:rFonts w:ascii="Arial" w:cs="Arial" w:eastAsia="Arial" w:hAnsi="Arial"/>
          <w:color w:val="1A1A2E"/>
          <w:sz w:val="22"/>
          <w:szCs w:val="22"/>
        </w:rPr>
        <w:t xml:space="preserve">No active UPI, mobile banking, or digital payment channel</w:t>
      </w:r>
    </w:p>
    <w:p>
      <w:pPr>
        <w:pStyle w:val="ListParagraph"/>
        <w:numPr>
          <w:ilvl w:val="0"/>
          <w:numId w:val="2"/>
        </w:numPr>
        <w:spacing w:after="40" w:before="40" w:line="276" w:lineRule="auto"/>
      </w:pPr>
      <w:r>
        <w:rPr>
          <w:rFonts w:ascii="Arial" w:cs="Arial" w:eastAsia="Arial" w:hAnsi="Arial"/>
          <w:color w:val="1A1A2E"/>
          <w:sz w:val="22"/>
          <w:szCs w:val="22"/>
        </w:rPr>
        <w:t xml:space="preserve">RuPay card issuance below 20% of savings account holders</w:t>
      </w:r>
    </w:p>
    <w:p>
      <w:pPr>
        <w:pStyle w:val="ListParagraph"/>
        <w:numPr>
          <w:ilvl w:val="0"/>
          <w:numId w:val="2"/>
        </w:numPr>
        <w:spacing w:after="40" w:before="40" w:line="276" w:lineRule="auto"/>
      </w:pPr>
      <w:r>
        <w:rPr>
          <w:rFonts w:ascii="Arial" w:cs="Arial" w:eastAsia="Arial" w:hAnsi="Arial"/>
          <w:color w:val="1A1A2E"/>
          <w:sz w:val="22"/>
          <w:szCs w:val="22"/>
        </w:rPr>
        <w:t xml:space="preserve">CRAR and SLR calculations entirely manual — no CBS data extraction to Excel even</w:t>
      </w:r>
    </w:p>
    <w:p>
      <w:pPr>
        <w:pStyle w:val="ListParagraph"/>
        <w:numPr>
          <w:ilvl w:val="0"/>
          <w:numId w:val="2"/>
        </w:numPr>
        <w:spacing w:after="40" w:before="40" w:line="276" w:lineRule="auto"/>
      </w:pPr>
      <w:r>
        <w:rPr>
          <w:rFonts w:ascii="Arial" w:cs="Arial" w:eastAsia="Arial" w:hAnsi="Arial"/>
          <w:color w:val="1A1A2E"/>
          <w:sz w:val="22"/>
          <w:szCs w:val="22"/>
        </w:rPr>
        <w:t xml:space="preserve">PACS ERP not deployed — all PACS on paper registers</w:t>
      </w:r>
    </w:p>
    <w:p>
      <w:pPr>
        <w:pStyle w:val="ListParagraph"/>
        <w:numPr>
          <w:ilvl w:val="0"/>
          <w:numId w:val="2"/>
        </w:numPr>
        <w:spacing w:after="40" w:before="40" w:line="276" w:lineRule="auto"/>
      </w:pPr>
      <w:r>
        <w:rPr>
          <w:rFonts w:ascii="Arial" w:cs="Arial" w:eastAsia="Arial" w:hAnsi="Arial"/>
          <w:color w:val="1A1A2E"/>
          <w:sz w:val="22"/>
          <w:szCs w:val="22"/>
        </w:rPr>
        <w:t xml:space="preserve">No active BC agent deployment</w:t>
      </w:r>
    </w:p>
    <w:p>
      <w:pPr>
        <w:pStyle w:val="ListParagraph"/>
        <w:numPr>
          <w:ilvl w:val="0"/>
          <w:numId w:val="2"/>
        </w:numPr>
        <w:spacing w:after="40" w:before="40" w:line="276" w:lineRule="auto"/>
      </w:pPr>
      <w:r>
        <w:rPr>
          <w:rFonts w:ascii="Arial" w:cs="Arial" w:eastAsia="Arial" w:hAnsi="Arial"/>
          <w:color w:val="1A1A2E"/>
          <w:sz w:val="22"/>
          <w:szCs w:val="22"/>
        </w:rPr>
        <w:t xml:space="preserve">Internet connectivity unreliable at more than 40% of branches</w:t>
      </w:r>
    </w:p>
    <w:p>
      <w:pPr>
        <w:pStyle w:val="ListParagraph"/>
        <w:numPr>
          <w:ilvl w:val="0"/>
          <w:numId w:val="2"/>
        </w:numPr>
        <w:spacing w:after="40" w:before="40" w:line="276" w:lineRule="auto"/>
      </w:pPr>
      <w:r>
        <w:rPr>
          <w:rFonts w:ascii="Arial" w:cs="Arial" w:eastAsia="Arial" w:hAnsi="Arial"/>
          <w:color w:val="1A1A2E"/>
          <w:sz w:val="22"/>
          <w:szCs w:val="22"/>
        </w:rPr>
        <w:t xml:space="preserve">No dedicated IT officer — CBS managed entirely by vendor</w:t>
      </w:r>
    </w:p>
    <w:p>
      <w:pPr>
        <w:spacing w:after="80" w:before="80"/>
      </w:pPr>
      <w:r>
        <w:t xml:space="preserve"/>
      </w:r>
    </w:p>
    <w:p>
      <w:pPr>
        <w:spacing w:after="100" w:before="80" w:line="276" w:lineRule="auto"/>
        <w:jc w:val="both"/>
      </w:pPr>
      <w:r>
        <w:rPr>
          <w:rFonts w:ascii="Arial" w:cs="Arial" w:eastAsia="Arial" w:hAnsi="Arial"/>
          <w:b w:val="false"/>
          <w:bCs w:val="false"/>
          <w:i w:val="false"/>
          <w:iCs w:val="false"/>
          <w:color w:val="1A1A2E"/>
          <w:sz w:val="22"/>
          <w:szCs w:val="22"/>
        </w:rPr>
        <w:t xml:space="preserve">PDC-RFIs are concentrated in Northeast India, deep tribal districts of Chhattisgarh and Odisha, and parts of Jharkhand. Named examples include DCCBs receiving NABARD disbursements in Manipur (₹7.81 crore, FY25), Mizoram (₹12.60 crore, FY25), and Nagaland (₹33 crore, FY25) — the small scale of these disbursements itself indicating the early-stage nature of credit infrastructure.</w:t>
      </w:r>
    </w:p>
    <w:p>
      <w:pPr>
        <w:spacing w:after="100" w:before="80" w:line="276" w:lineRule="auto"/>
        <w:jc w:val="both"/>
      </w:pPr>
      <w:r>
        <w:rPr>
          <w:rFonts w:ascii="Arial" w:cs="Arial" w:eastAsia="Arial" w:hAnsi="Arial"/>
          <w:b w:val="false"/>
          <w:bCs w:val="false"/>
          <w:i w:val="false"/>
          <w:iCs w:val="false"/>
          <w:color w:val="1A1A2E"/>
          <w:sz w:val="22"/>
          <w:szCs w:val="22"/>
        </w:rPr>
        <w:t xml:space="preserve">PDC-RFIs represent approximately 25% of India's 352 DCCBs — between 85 and 90 institutions. SSPL's advisory posture is "Foundation First." The primary mandate is CBS stabilisation, connectivity improvement advocacy, staff digital literacy building, and deployment of the absolute minimum viable digital stack — Aadhaar eKYC, AePS cash-out via a small BC agent network, and automated NABARD OSS data extraction. An honest assessment must acknowledge that some PDC-RFIs will require 5–7 years to reach DM-RFI level given the depth of geographic and infrastructure constraints they face. SSPL's role with these institutions is as much advocacy — working with DOT, BSNL, and BharatNet to improve connectivity — as it is technology implementation.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0E8A8A" w:sz="20"/>
              <w:bottom w:val="none" w:color="FFFFFF" w:sz="0"/>
              <w:right w:val="none" w:color="FFFFFF" w:sz="0"/>
            </w:tcBorders>
            <w:shd w:fill="F0F8F8" w:val="clear"/>
            <w:tcMar>
              <w:top w:type="dxa" w:w="120"/>
              <w:left w:type="dxa" w:w="240"/>
              <w:bottom w:type="dxa" w:w="120"/>
              <w:right w:type="dxa" w:w="120"/>
            </w:tcMar>
          </w:tcPr>
          <w:p>
            <w:pPr>
              <w:spacing w:after="0" w:before="0"/>
            </w:pPr>
            <w:r>
              <w:rPr>
                <w:rFonts w:ascii="Arial" w:cs="Arial" w:eastAsia="Arial" w:hAnsi="Arial"/>
                <w:i/>
                <w:iCs/>
                <w:color w:val="1A3A50"/>
                <w:sz w:val="20"/>
                <w:szCs w:val="20"/>
              </w:rPr>
              <w:t xml:space="preserve">PDC-RFI SSPL Advisory Posture: "Foundation First." Do not deploy customer-facing digital products before internal foundations are stable. CBS stabilisation → staff literacy → Aadhaar eKYC → AePS → basic compliance automation. This sequence avoids the common failure mode of deploying advanced digital products on an unstable foundation, which produces the appearance of modernisation with the reality of continued manual operation.</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2318"/>
        <w:gridCol w:w="2318"/>
        <w:gridCol w:w="2318"/>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DIMENSION</w:t>
            </w:r>
          </w:p>
        </w:tc>
        <w:tc>
          <w:tcPr>
            <w:tcW w:type="dxa" w:w="2318"/>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w:t>
            </w:r>
          </w:p>
        </w:tc>
        <w:tc>
          <w:tcPr>
            <w:tcW w:type="dxa" w:w="2318"/>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w:t>
            </w:r>
          </w:p>
        </w:tc>
        <w:tc>
          <w:tcPr>
            <w:tcW w:type="dxa" w:w="2318"/>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Population (of 352 DCCBs)</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~55–70 (15–20%)</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~195–210 (55–60%)</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~85–90 (~25%)</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Geographic concentration</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Maharashtra, Gujarat, Karnataka, AP, Telangana</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UP, MP, Bihar, Rajasthan, Jharkhand, HP</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Northeast India, tribal Chhattisgarh/Odisha, Jharkhand</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status</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 API-enabled, all branches live</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Live but batch; some branches offline</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Deploying or minimal go-live only</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 integration</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&gt;50% PACS digitally linked</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&lt;50% linked; data quality issues</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Zero PACS digital linkage</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Mobile banking</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Active app or SSPL white-label</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USSD only or none</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None</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 tracking</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Real-time or daily CBS feed</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Weekly/monthly Excel review</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Manual registers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CRAR/SLR</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Semi or fully automated</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Excel-based from CBS extract</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Fully manual Excel</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posture</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Optimise &amp; AI-integrate</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Complete &amp; consolidate</w:t>
            </w:r>
          </w:p>
        </w:tc>
        <w:tc>
          <w:tcPr>
            <w:tcW w:type="dxa" w:w="2318"/>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Foundation first</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Priority products</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AI scoring, EWS, FPO finance</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NACH, BC network, compliance engine</w:t>
            </w:r>
          </w:p>
        </w:tc>
        <w:tc>
          <w:tcPr>
            <w:tcW w:type="dxa" w:w="2318"/>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stabilisation, eKYC, AePS</w:t>
            </w:r>
          </w:p>
        </w:tc>
      </w:tr>
    </w:tbl>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II</w:t>
            </w:r>
          </w:p>
          <w:p>
            <w:pPr>
              <w:jc w:val="center"/>
            </w:pPr>
            <w:r>
              <w:rPr>
                <w:rFonts w:ascii="Arial" w:cs="Arial" w:eastAsia="Arial" w:hAnsi="Arial"/>
                <w:b/>
                <w:bCs/>
                <w:color w:val="FFFFFF"/>
                <w:sz w:val="28"/>
                <w:szCs w:val="28"/>
              </w:rPr>
              <w:t xml:space="preserve">Large Bank Product Catalogue and DCCB Applicability</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3: Complete Product Catalogue</w:t>
      </w:r>
    </w:p>
    <w:p>
      <w:pPr>
        <w:pStyle w:val="Heading2"/>
        <w:spacing w:after="120" w:before="260"/>
      </w:pPr>
      <w:r>
        <w:rPr>
          <w:rFonts w:ascii="Arial" w:cs="Arial" w:eastAsia="Arial" w:hAnsi="Arial"/>
          <w:b/>
          <w:bCs/>
          <w:color w:val="0E8A8A"/>
          <w:sz w:val="32"/>
          <w:szCs w:val="32"/>
        </w:rPr>
        <w:t xml:space="preserve">Sub-Section 3A: Customer-Facing Digital Banking Products (Products 1–10)</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 </w:t>
            </w:r>
            <w:r>
              <w:rPr>
                <w:rFonts w:ascii="Arial" w:cs="Arial" w:eastAsia="Arial" w:hAnsi="Arial"/>
                <w:b/>
                <w:bCs/>
                <w:color w:val="FFFFFF"/>
                <w:sz w:val="26"/>
                <w:szCs w:val="26"/>
              </w:rPr>
              <w:t xml:space="preserve">Mobile Banking Application</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A mobile banking application is a software program installed on a customer's smartphone or accessed via a feature phone through USSD or IVR, enabling them to conduct financial transactions, check balances, transfer funds, pay bills, apply for loans, and access account services without visiting a physical bank branch. For cooperative banks, a mobile banking app is the primary digital customer touchpoint — the equivalent of a branch in the customer's pocket. The complexity ranges from a fully featured smartphone superapp (SBI YONO) to a simple USSD menu (*99#) accessible on a ₹1,000 feature phone without any data plan.</w:t>
      </w:r>
    </w:p>
    <w:p>
      <w:pPr>
        <w:pStyle w:val="Heading3"/>
        <w:spacing w:after="80" w:before="200"/>
      </w:pPr>
      <w:r>
        <w:rPr>
          <w:rFonts w:ascii="Arial" w:cs="Arial" w:eastAsia="Arial" w:hAnsi="Arial"/>
          <w:b/>
          <w:bCs/>
          <w:color w:val="0A1628"/>
          <w:sz w:val="26"/>
          <w:szCs w:val="26"/>
        </w:rPr>
        <w:t xml:space="preserve">What large Indian banks are doing:</w:t>
      </w:r>
    </w:p>
    <w:p>
      <w:pPr>
        <w:pStyle w:val="ListParagraph"/>
        <w:numPr>
          <w:ilvl w:val="0"/>
          <w:numId w:val="2"/>
        </w:numPr>
        <w:spacing w:after="40" w:before="40" w:line="276" w:lineRule="auto"/>
      </w:pPr>
      <w:r>
        <w:rPr>
          <w:rFonts w:ascii="Arial" w:cs="Arial" w:eastAsia="Arial" w:hAnsi="Arial"/>
          <w:color w:val="1A1A2E"/>
          <w:sz w:val="22"/>
          <w:szCs w:val="22"/>
        </w:rPr>
        <w:t xml:space="preserve">SBI YONO: Launched 2017. IBM-developed. ₹4,000 crore development cost. 100M+ downloads. 8.77 crore registered users as of FY25. 64% of regular savings bank accounts opened via YONO in FY25. 98% of transactions conducted via alternate channels. Integrated banking + shopping + travel + investment + insurance + government services in one superapp. GenAI chatbot for deceased claims processing (January 2025) and internal documentation (February 2025). IT spend grew from ₹10,037 crore (FY24) to ₹10,525 crore (FY25).</w:t>
      </w:r>
    </w:p>
    <w:p>
      <w:pPr>
        <w:pStyle w:val="ListParagraph"/>
        <w:numPr>
          <w:ilvl w:val="0"/>
          <w:numId w:val="2"/>
        </w:numPr>
        <w:spacing w:after="40" w:before="40" w:line="276" w:lineRule="auto"/>
      </w:pPr>
      <w:r>
        <w:rPr>
          <w:rFonts w:ascii="Arial" w:cs="Arial" w:eastAsia="Arial" w:hAnsi="Arial"/>
          <w:color w:val="1A1A2E"/>
          <w:sz w:val="22"/>
          <w:szCs w:val="22"/>
        </w:rPr>
        <w:t xml:space="preserve">HDFC Bank Mobile App: Distinct from YONO in its lean design philosophy. LITE version designed specifically for low bandwidth — functions on 2G connection. 120+ banking services available. Hindi and regional language support. 9,092 branches and 20,993 ATMs complement the mobile channel.</w:t>
      </w:r>
    </w:p>
    <w:p>
      <w:pPr>
        <w:pStyle w:val="ListParagraph"/>
        <w:numPr>
          <w:ilvl w:val="0"/>
          <w:numId w:val="2"/>
        </w:numPr>
        <w:spacing w:after="40" w:before="40" w:line="276" w:lineRule="auto"/>
      </w:pPr>
      <w:r>
        <w:rPr>
          <w:rFonts w:ascii="Arial" w:cs="Arial" w:eastAsia="Arial" w:hAnsi="Arial"/>
          <w:color w:val="1A1A2E"/>
          <w:sz w:val="22"/>
          <w:szCs w:val="22"/>
        </w:rPr>
        <w:t xml:space="preserve">ICICI iMobile Pay: 400+ services. Open to non-ICICI customers since February 2021 — positioning it as a payments app rather than only a banking app. 4.5-star Play Store rating. Digital Banking segment revenue ₹40,264 crore in FY25. Technology spend 10.7% of operating expenses.</w:t>
      </w:r>
    </w:p>
    <w:p>
      <w:pPr>
        <w:pStyle w:val="ListParagraph"/>
        <w:numPr>
          <w:ilvl w:val="0"/>
          <w:numId w:val="2"/>
        </w:numPr>
        <w:spacing w:after="40" w:before="40" w:line="276" w:lineRule="auto"/>
      </w:pPr>
      <w:r>
        <w:rPr>
          <w:rFonts w:ascii="Arial" w:cs="Arial" w:eastAsia="Arial" w:hAnsi="Arial"/>
          <w:color w:val="1A1A2E"/>
          <w:sz w:val="22"/>
          <w:szCs w:val="22"/>
        </w:rPr>
        <w:t xml:space="preserve">PNB ONE and BOB World: Both banks deployed Finacle CBS and have companion mobile apps with standard banking services and UPI integration.</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GBPEM Scores: PMS 5 | RAS 3 | ICI 3 | FIQ 4 | CVDS 4 | Total: 19/25</w:t>
      </w:r>
    </w:p>
    <w:p>
      <w:pPr>
        <w:spacing w:after="100" w:before="80" w:line="276" w:lineRule="auto"/>
        <w:jc w:val="both"/>
      </w:pPr>
      <w:r>
        <w:rPr>
          <w:rFonts w:ascii="Arial" w:cs="Arial" w:eastAsia="Arial" w:hAnsi="Arial"/>
          <w:b w:val="false"/>
          <w:bCs w:val="false"/>
          <w:i w:val="false"/>
          <w:iCs w:val="false"/>
          <w:color w:val="1A1A2E"/>
          <w:sz w:val="22"/>
          <w:szCs w:val="22"/>
        </w:rPr>
        <w:t xml:space="preserve">PMS 5: Fully proven at 100M+ scale. RAS 3: Smartphone app requires 4G and literacy — limited rural reach; USSD version (RAS 5) compensates, making the composite score 3 for the category. ICI 3: White-label app via C-Edge or SSPL deployable in 90–120 days at ₹15–30 lakhs; own-build is ICI 1. FIQ 4: Branch transaction cost ₹35–45 vs. mobile ₹1–3 — 93–96% per-transaction cost reduction at scale. CVDS 4: Directly serves KCC farmers checking loan balance, repayment dates, and PMFBY status — high rural client relevance.</w:t>
      </w:r>
    </w:p>
    <w:p>
      <w:pPr>
        <w:pStyle w:val="Heading3"/>
        <w:spacing w:after="80" w:before="200"/>
      </w:pPr>
      <w:r>
        <w:rPr>
          <w:rFonts w:ascii="Arial" w:cs="Arial" w:eastAsia="Arial" w:hAnsi="Arial"/>
          <w:b/>
          <w:bCs/>
          <w:color w:val="0A1628"/>
          <w:sz w:val="26"/>
          <w:szCs w:val="26"/>
        </w:rPr>
        <w:t xml:space="preserve">Scaled-Down DCCB Version:</w:t>
      </w:r>
    </w:p>
    <w:p>
      <w:pPr>
        <w:spacing w:after="100" w:before="80" w:line="276" w:lineRule="auto"/>
        <w:jc w:val="both"/>
      </w:pPr>
      <w:r>
        <w:rPr>
          <w:rFonts w:ascii="Arial" w:cs="Arial" w:eastAsia="Arial" w:hAnsi="Arial"/>
          <w:b w:val="false"/>
          <w:bCs w:val="false"/>
          <w:i w:val="false"/>
          <w:iCs w:val="false"/>
          <w:color w:val="1A1A2E"/>
          <w:sz w:val="22"/>
          <w:szCs w:val="22"/>
        </w:rPr>
        <w:t xml:space="preserve">For a DCCB, the mobile banking product stack has three tiers. Tier 1 — the minimum viable offering — is USSD *99# banking via NPCI's National Unified USSD Platform (NUUP), which allows balance inquiry, mini-statement, and fund transfer from any mobile phone without internet. Tier 2 is a white-label cooperative mobile app via C-Edge Technologies or SSPL's shared app platform — branded with the DCCB's name but built on shared infrastructure. Key rural-relevant features: KCC balance and repayment schedule, PMFBY claim status, nearby BC agent locator, loan EMI reminder, and UPI payment. Cost: ₹15–30 lakhs one-time plus ₹3–5 lakhs annual maintenance via C-Edge; ₹2–5 lakhs annual via SSPL shared model. Tier 3 is UPI 123PAY — NPCI's product specifically designed for feature phone users in rural India, enabling IVR-based UPI payments without a smartphone.</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1400"/>
        <w:gridCol w:w="19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2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RECOMMENDED APPROACH</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VENDOR / PLATFORM</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w:t>
            </w:r>
          </w:p>
        </w:tc>
        <w:tc>
          <w:tcPr>
            <w:tcW w:type="dxa" w:w="1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White-label app + USSD *99# + UPI 123PAY + WhatsApp banking</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 SSPL / NPCI</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90–120 days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20–35 lakhs one-time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USSD *99# + UPI QR at branch + SSPL white-label (Phase 2)</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NPCI + SSPL Phase 2</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 days (USSD); 6–9 months (app)</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 lakhs (USSD); +15 lakhs (app)</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USSD *99# only; missed-call balance service</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NPCI NUUP</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30–45 days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lakhs setup</w:t>
            </w:r>
          </w:p>
        </w:tc>
      </w:tr>
    </w:tbl>
    <w:p>
      <w:pPr>
        <w:pStyle w:val="Heading3"/>
        <w:spacing w:after="80" w:before="200"/>
      </w:pPr>
      <w:r>
        <w:rPr>
          <w:rFonts w:ascii="Arial" w:cs="Arial" w:eastAsia="Arial" w:hAnsi="Arial"/>
          <w:b/>
          <w:bCs/>
          <w:color w:val="0A1628"/>
          <w:sz w:val="26"/>
          <w:szCs w:val="26"/>
        </w:rPr>
        <w:t xml:space="preserve">Performance Metrics: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50"/>
        <w:gridCol w:w="1700"/>
        <w:gridCol w:w="1804"/>
      </w:tblGrid>
      <w:tr>
        <w:trPr>
          <w:tblHeader/>
        </w:trPr>
        <w:tc>
          <w:tcPr>
            <w:tcW w:type="dxa" w:w="2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METRIC</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BASELINE (MANUAL)</w:t>
            </w:r>
          </w:p>
        </w:tc>
        <w:tc>
          <w:tcPr>
            <w:tcW w:type="dxa" w:w="145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POST-DM PHASE 1</w:t>
            </w:r>
          </w:p>
        </w:tc>
        <w:tc>
          <w:tcPr>
            <w:tcW w:type="dxa" w:w="1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POST-PD PHASE 2</w:t>
            </w:r>
          </w:p>
        </w:tc>
        <w:tc>
          <w:tcPr>
            <w:tcW w:type="dxa" w:w="180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POST-PDC PHASE 2</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 transactions / total transactions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100%</w:t>
            </w:r>
          </w:p>
        </w:tc>
        <w:tc>
          <w:tcPr>
            <w:tcW w:type="dxa" w:w="145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35–40%</w:t>
            </w:r>
          </w:p>
        </w:tc>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60–65%</w:t>
            </w:r>
          </w:p>
        </w:tc>
        <w:tc>
          <w:tcPr>
            <w:tcW w:type="dxa" w:w="180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80–85%</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Cost per transaction (₹)</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₹35–45</w:t>
            </w:r>
          </w:p>
        </w:tc>
        <w:tc>
          <w:tcPr>
            <w:tcW w:type="dxa" w:w="145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₹5–8</w:t>
            </w:r>
          </w:p>
        </w:tc>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w:t>
            </w:r>
          </w:p>
        </w:tc>
        <w:tc>
          <w:tcPr>
            <w:tcW w:type="dxa" w:w="180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Account balance inquiry TAT (minutes)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15–30 min (branch)</w:t>
            </w:r>
          </w:p>
        </w:tc>
        <w:tc>
          <w:tcPr>
            <w:tcW w:type="dxa" w:w="145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 min</w:t>
            </w:r>
          </w:p>
        </w:tc>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 min</w:t>
            </w:r>
          </w:p>
        </w:tc>
        <w:tc>
          <w:tcPr>
            <w:tcW w:type="dxa" w:w="180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 min (USSD)</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status queries (branch visits avoided/month)</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45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500–2,000</w:t>
            </w:r>
          </w:p>
        </w:tc>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200–800</w:t>
            </w:r>
          </w:p>
        </w:tc>
        <w:tc>
          <w:tcPr>
            <w:tcW w:type="dxa" w:w="180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100–400</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Customer satisfaction (CSAT score / 5)</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w:t>
            </w:r>
          </w:p>
        </w:tc>
        <w:tc>
          <w:tcPr>
            <w:tcW w:type="dxa" w:w="145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4.2</w:t>
            </w:r>
          </w:p>
        </w:tc>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w:t>
            </w:r>
          </w:p>
        </w:tc>
        <w:tc>
          <w:tcPr>
            <w:tcW w:type="dxa" w:w="180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3.8</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2: </w:t>
            </w:r>
            <w:r>
              <w:rPr>
                <w:rFonts w:ascii="Arial" w:cs="Arial" w:eastAsia="Arial" w:hAnsi="Arial"/>
                <w:b/>
                <w:bCs/>
                <w:color w:val="FFFFFF"/>
                <w:sz w:val="26"/>
                <w:szCs w:val="26"/>
              </w:rPr>
              <w:t xml:space="preserve">Internet Banking / Net Banking Portal</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An internet banking portal is a web-based platform accessible via a desktop or laptop browser that enables customers and staff to conduct banking operations online. For large banks, internet banking is the oldest digital channel — ICICI Bank introduced India's first internet banking service in 1998. For DCCBs, the honest assessment is that retail internet banking has limited applicability in rural cooperative banking's core client demographic, where PC ownership and internet access outside mobile networks is minimal. The DCCB internet banking story is primarily about institutional and staff-facing portals, not retail customer adoption.</w:t>
      </w:r>
    </w:p>
    <w:p>
      <w:pPr>
        <w:pStyle w:val="Heading3"/>
        <w:spacing w:after="80" w:before="200"/>
      </w:pPr>
      <w:r>
        <w:rPr>
          <w:rFonts w:ascii="Arial" w:cs="Arial" w:eastAsia="Arial" w:hAnsi="Arial"/>
          <w:b/>
          <w:bCs/>
          <w:color w:val="0A1628"/>
          <w:sz w:val="26"/>
          <w:szCs w:val="26"/>
        </w:rPr>
        <w:t xml:space="preserve">GBPEM Scores: PMS 5 | RAS 1 (retail) / 5 (staff-institutional) | ICI 4 | FIQ 3 | CVDS 2 | Total: 15/25</w:t>
      </w:r>
    </w:p>
    <w:p>
      <w:pPr>
        <w:spacing w:after="100" w:before="80" w:line="276" w:lineRule="auto"/>
        <w:jc w:val="both"/>
      </w:pPr>
      <w:r>
        <w:rPr>
          <w:rFonts w:ascii="Arial" w:cs="Arial" w:eastAsia="Arial" w:hAnsi="Arial"/>
          <w:b w:val="false"/>
          <w:bCs w:val="false"/>
          <w:i w:val="false"/>
          <w:iCs w:val="false"/>
          <w:color w:val="1A1A2E"/>
          <w:sz w:val="22"/>
          <w:szCs w:val="22"/>
        </w:rPr>
        <w:t xml:space="preserve">The critical GBPEM insight for internet banking: the product earns PMS 5 for maturity but RAS 1 for retail rural applicability. A DCCB investing significantly in retail internet banking for its farmer clients is misallocating resources. The highest-value use of internet banking capability at a DCCB is: (a) staff-facing portal for branch managers to access CBS, authorise transactions, and file returns remotely; (b) institutional client portal for FPOs, sugar mills, PACS treasurers, and cooperative societies to manage their accounts; (c) NABARD and regulatory authority access for inspection and data submission.</w:t>
      </w:r>
    </w:p>
    <w:p>
      <w:pPr>
        <w:pStyle w:val="Heading3"/>
        <w:spacing w:after="80" w:before="200"/>
      </w:pPr>
      <w:r>
        <w:rPr>
          <w:rFonts w:ascii="Arial" w:cs="Arial" w:eastAsia="Arial" w:hAnsi="Arial"/>
          <w:b/>
          <w:bCs/>
          <w:color w:val="0A1628"/>
          <w:sz w:val="26"/>
          <w:szCs w:val="26"/>
        </w:rPr>
        <w:t xml:space="preserve">Scaled-Down DCCB Version:</w:t>
      </w:r>
    </w:p>
    <w:p>
      <w:pPr>
        <w:spacing w:after="100" w:before="80" w:line="276" w:lineRule="auto"/>
        <w:jc w:val="both"/>
      </w:pPr>
      <w:r>
        <w:rPr>
          <w:rFonts w:ascii="Arial" w:cs="Arial" w:eastAsia="Arial" w:hAnsi="Arial"/>
          <w:b w:val="false"/>
          <w:bCs w:val="false"/>
          <w:i w:val="false"/>
          <w:iCs w:val="false"/>
          <w:color w:val="1A1A2E"/>
          <w:sz w:val="22"/>
          <w:szCs w:val="22"/>
        </w:rPr>
        <w:t xml:space="preserve">Most cooperative CBS platforms (C-Edge, TrustBankCBS, Virmati) include a browser-based staff portal as part of the core CBS package. This is the internet banking capability DCCBs should activate — at zero incremental cost. FPO and institutional client portals can be added as a CBS module extension at ₹2–5 lakhs. Full retail internet banking for farmer clients is not recommended for any RFI category as a standalone investment.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4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RECOMMENDATION</w:t>
            </w:r>
          </w:p>
        </w:tc>
        <w:tc>
          <w:tcPr>
            <w:tcW w:type="dxa" w:w="3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INVESTMENT REQUIRED</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4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Staff portal (CBS-bundled) + FPO/institutional portal</w:t>
            </w:r>
          </w:p>
        </w:tc>
        <w:tc>
          <w:tcPr>
            <w:tcW w:type="dxa" w:w="3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 for institutional module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4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Staff CBS portal activation only</w:t>
            </w:r>
          </w:p>
        </w:tc>
        <w:tc>
          <w:tcPr>
            <w:tcW w:type="dxa" w:w="3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Nil (CBS-bundled)</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4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Not recommended as priority; defer until CBS stabilised</w:t>
            </w:r>
          </w:p>
        </w:tc>
        <w:tc>
          <w:tcPr>
            <w:tcW w:type="dxa" w:w="3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 — invest in higher-priority items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3: </w:t>
            </w:r>
            <w:r>
              <w:rPr>
                <w:rFonts w:ascii="Arial" w:cs="Arial" w:eastAsia="Arial" w:hAnsi="Arial"/>
                <w:b/>
                <w:bCs/>
                <w:color w:val="FFFFFF"/>
                <w:sz w:val="26"/>
                <w:szCs w:val="26"/>
              </w:rPr>
              <w:t xml:space="preserve">UPI / Unified Payments Interface and Digital Payments Ecosystem</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The Unified Payments Interface (UPI) is NPCI's real-time payment protocol that enables instant money transfer between any two bank accounts through a mobile number-linked virtual payment address (VPA). With 10 billion-plus monthly transactions in 2024, UPI is the dominant digital payment infrastructure in India. For DCCBs, UPI is not merely a payment product — it is the gateway to the entire digital financial ecosystem. A DCCB member without a UPI-linked RuPay debit card is functionally excluded from the digital economy even if they have a bank account.</w:t>
      </w:r>
    </w:p>
    <w:p>
      <w:pPr>
        <w:pStyle w:val="Heading3"/>
        <w:spacing w:after="80" w:before="200"/>
      </w:pPr>
      <w:r>
        <w:rPr>
          <w:rFonts w:ascii="Arial" w:cs="Arial" w:eastAsia="Arial" w:hAnsi="Arial"/>
          <w:b/>
          <w:bCs/>
          <w:color w:val="0A1628"/>
          <w:sz w:val="26"/>
          <w:szCs w:val="26"/>
        </w:rPr>
        <w:t xml:space="preserve">Large bank context:</w:t>
      </w:r>
    </w:p>
    <w:p>
      <w:pPr>
        <w:pStyle w:val="ListParagraph"/>
        <w:numPr>
          <w:ilvl w:val="0"/>
          <w:numId w:val="2"/>
        </w:numPr>
        <w:spacing w:after="40" w:before="40" w:line="276" w:lineRule="auto"/>
      </w:pPr>
      <w:r>
        <w:rPr>
          <w:rFonts w:ascii="Arial" w:cs="Arial" w:eastAsia="Arial" w:hAnsi="Arial"/>
          <w:color w:val="1A1A2E"/>
          <w:sz w:val="22"/>
          <w:szCs w:val="22"/>
        </w:rPr>
        <w:t xml:space="preserve">All major banks (SBI Pay, HDFC Pay, ICICI Pay) are UPI participant members through NPCI</w:t>
      </w:r>
    </w:p>
    <w:p>
      <w:pPr>
        <w:pStyle w:val="ListParagraph"/>
        <w:numPr>
          <w:ilvl w:val="0"/>
          <w:numId w:val="2"/>
        </w:numPr>
        <w:spacing w:after="40" w:before="40" w:line="276" w:lineRule="auto"/>
      </w:pPr>
      <w:r>
        <w:rPr>
          <w:rFonts w:ascii="Arial" w:cs="Arial" w:eastAsia="Arial" w:hAnsi="Arial"/>
          <w:color w:val="1A1A2E"/>
          <w:sz w:val="22"/>
          <w:szCs w:val="22"/>
        </w:rPr>
        <w:t xml:space="preserve">BHIM — NPCI's own UPI app — interoperates with all bank UPI IDs</w:t>
      </w:r>
    </w:p>
    <w:p>
      <w:pPr>
        <w:pStyle w:val="ListParagraph"/>
        <w:numPr>
          <w:ilvl w:val="0"/>
          <w:numId w:val="2"/>
        </w:numPr>
        <w:spacing w:after="40" w:before="40" w:line="276" w:lineRule="auto"/>
      </w:pPr>
      <w:r>
        <w:rPr>
          <w:rFonts w:ascii="Arial" w:cs="Arial" w:eastAsia="Arial" w:hAnsi="Arial"/>
          <w:color w:val="1A1A2E"/>
          <w:sz w:val="22"/>
          <w:szCs w:val="22"/>
        </w:rPr>
        <w:t xml:space="preserve">PhonePe and Google Pay account for ~80% of UPI transaction volume but any bank account can receive payments</w:t>
      </w:r>
    </w:p>
    <w:p>
      <w:pPr>
        <w:pStyle w:val="ListParagraph"/>
        <w:numPr>
          <w:ilvl w:val="0"/>
          <w:numId w:val="2"/>
        </w:numPr>
        <w:spacing w:after="40" w:before="40" w:line="276" w:lineRule="auto"/>
      </w:pPr>
      <w:r>
        <w:rPr>
          <w:rFonts w:ascii="Arial" w:cs="Arial" w:eastAsia="Arial" w:hAnsi="Arial"/>
          <w:color w:val="1A1A2E"/>
          <w:sz w:val="22"/>
          <w:szCs w:val="22"/>
        </w:rPr>
        <w:t xml:space="preserve">UPI 123PAY: NPCI's feature-phone UPI product, launched for rural India. Works via IVR, missed call, sound-based proximity payment. Requires no smartphone, no data plan. Critical for DCCB rural client adoption.</w:t>
      </w:r>
    </w:p>
    <w:p>
      <w:pPr>
        <w:pStyle w:val="ListParagraph"/>
        <w:numPr>
          <w:ilvl w:val="0"/>
          <w:numId w:val="2"/>
        </w:numPr>
        <w:spacing w:after="40" w:before="40" w:line="276" w:lineRule="auto"/>
      </w:pPr>
      <w:r>
        <w:rPr>
          <w:rFonts w:ascii="Arial" w:cs="Arial" w:eastAsia="Arial" w:hAnsi="Arial"/>
          <w:color w:val="1A1A2E"/>
          <w:sz w:val="22"/>
          <w:szCs w:val="22"/>
        </w:rPr>
        <w:t xml:space="preserve">*99# USSD banking: Works on any GSM feature phone. No internet required. Accessible even with zero data balance. Supports balance inquiry, fund transfer, and mini-statement.</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AePS — The Most Rural-Appropriate Digital Payment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AePS (Aadhaar-enabled Payment System) deserves extended treatment because it is the single most appropriate digital payment product for DCCB's Segment C clients — the digitally excluded elderly, low-literacy, and remote-area population. AePS requires only an Aadhaar-linked bank account, a biometric fingerprint scan, and a BC agent with a micro-ATM device. No smartphone. No PIN. No literacy. No data plan. A BC agent in a remote village with a ₹12,000 micro-ATM device and a 2G SIM can provide cash withdrawal and balance inquiry to every Aadhaar-linked account holder in the village.</w:t>
      </w:r>
    </w:p>
    <w:p>
      <w:pPr>
        <w:pStyle w:val="Heading3"/>
        <w:spacing w:after="80" w:before="200"/>
      </w:pPr>
      <w:r>
        <w:rPr>
          <w:rFonts w:ascii="Arial" w:cs="Arial" w:eastAsia="Arial" w:hAnsi="Arial"/>
          <w:b/>
          <w:bCs/>
          <w:color w:val="0A1628"/>
          <w:sz w:val="26"/>
          <w:szCs w:val="26"/>
        </w:rPr>
        <w:t xml:space="preserve">BBPS — Revenue Opportunity:</w:t>
      </w:r>
    </w:p>
    <w:p>
      <w:pPr>
        <w:spacing w:after="100" w:before="80" w:line="276" w:lineRule="auto"/>
        <w:jc w:val="both"/>
      </w:pPr>
      <w:r>
        <w:rPr>
          <w:rFonts w:ascii="Arial" w:cs="Arial" w:eastAsia="Arial" w:hAnsi="Arial"/>
          <w:b w:val="false"/>
          <w:bCs w:val="false"/>
          <w:i w:val="false"/>
          <w:iCs w:val="false"/>
          <w:color w:val="1A1A2E"/>
          <w:sz w:val="22"/>
          <w:szCs w:val="22"/>
        </w:rPr>
        <w:t xml:space="preserve">DCCB should register as a BBPS Operating Unit (BOU) through NPCI to collect utility bill payments (electricity, water, gas, telecom, school fees, municipal taxes) on behalf of PACS and BC agents. Commission of ₹3–5 per transaction. A PACS serving 3,000 households with average 2 bill payments per household per month generates ₹18,000–30,000 per month in commission income — a powerful incentive for PACS digital adoption and BC agent engagement.</w:t>
      </w:r>
    </w:p>
    <w:p>
      <w:pPr>
        <w:pStyle w:val="Heading3"/>
        <w:spacing w:after="80" w:before="200"/>
      </w:pPr>
      <w:r>
        <w:rPr>
          <w:rFonts w:ascii="Arial" w:cs="Arial" w:eastAsia="Arial" w:hAnsi="Arial"/>
          <w:b/>
          <w:bCs/>
          <w:color w:val="0A1628"/>
          <w:sz w:val="26"/>
          <w:szCs w:val="26"/>
        </w:rPr>
        <w:t xml:space="preserve">GBPEM Scores: PMS 5 | RAS 4 | ICI 3 | FIQ 5 | CVDS 5 | Total: 22/25</w:t>
      </w:r>
    </w:p>
    <w:tbl>
      <w:tblPr>
        <w:tblW w:type="dxa" w:w="8354"/>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1600"/>
        <w:gridCol w:w="11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UPI STACK</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AEPS DEPLOYMENT</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BBPS STATUS</w:t>
            </w:r>
          </w:p>
        </w:tc>
        <w:tc>
          <w:tcPr>
            <w:tcW w:type="dxa" w:w="11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 UPI member + QR + 123PAY + USSD</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Micro-ATM at every PACS BC</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BOU registered; full bill collection</w:t>
            </w:r>
          </w:p>
        </w:tc>
        <w:tc>
          <w:tcPr>
            <w:tcW w:type="dxa" w:w="1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 days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UPI QR at branch + USSD *99# + AePS via BC</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Block-level BC with micro-ATM</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 via sub-agent of BOU</w:t>
            </w:r>
          </w:p>
        </w:tc>
        <w:tc>
          <w:tcPr>
            <w:tcW w:type="dxa" w:w="1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months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USSD *99# + AePS only initially</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District HQ + 1–2 block BCs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Not yet — Phase 2</w:t>
            </w:r>
          </w:p>
        </w:tc>
        <w:tc>
          <w:tcPr>
            <w:tcW w:type="dxa" w:w="1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30–60 days (USSD)</w:t>
            </w:r>
          </w:p>
        </w:tc>
      </w:tr>
    </w:tbl>
    <w:p>
      <w:pPr>
        <w:pStyle w:val="Heading3"/>
        <w:spacing w:after="80" w:before="200"/>
      </w:pPr>
      <w:r>
        <w:rPr>
          <w:rFonts w:ascii="Arial" w:cs="Arial" w:eastAsia="Arial" w:hAnsi="Arial"/>
          <w:b/>
          <w:bCs/>
          <w:color w:val="0A1628"/>
          <w:sz w:val="26"/>
          <w:szCs w:val="26"/>
        </w:rPr>
        <w:t xml:space="preserve">Performance Metrics: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54"/>
      </w:tblGrid>
      <w:tr>
        <w:trPr>
          <w:tblHeader/>
        </w:trPr>
        <w:tc>
          <w:tcPr>
            <w:tcW w:type="dxa" w:w="3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METRIC</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BASELINE</w:t>
            </w:r>
          </w:p>
        </w:tc>
        <w:tc>
          <w:tcPr>
            <w:tcW w:type="dxa" w:w="4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POST-IMPLEMENTATION TARGET</w:t>
            </w:r>
          </w:p>
        </w:tc>
      </w:tr>
      <w:tr>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payment % of all transactions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&lt;5%</w:t>
            </w:r>
          </w:p>
        </w:tc>
        <w:tc>
          <w:tcPr>
            <w:tcW w:type="dxa" w:w="4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40–65% (DM-RFI); 25–40% (PD-RFI); 10–20% (PDC-RFI)</w:t>
            </w:r>
          </w:p>
        </w:tc>
      </w:tr>
      <w:tr>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Branch cash handling cost reduction</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4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30–50% reduction in teller load</w:t>
            </w:r>
          </w:p>
        </w:tc>
      </w:tr>
      <w:tr>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commission income (per active PACS)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w:t>
            </w:r>
          </w:p>
        </w:tc>
        <w:tc>
          <w:tcPr>
            <w:tcW w:type="dxa" w:w="4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₹18,000–30,000/month per PACS</w:t>
            </w:r>
          </w:p>
        </w:tc>
      </w:tr>
      <w:tr>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repayment via NACH/digital (% of accounts)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&lt;10%</w:t>
            </w:r>
          </w:p>
        </w:tc>
        <w:tc>
          <w:tcPr>
            <w:tcW w:type="dxa" w:w="4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50–70% (DM); 30–50% (PD); 10–20% (PDC)</w:t>
            </w:r>
          </w:p>
        </w:tc>
      </w:tr>
      <w:tr>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Customer travel to branch per transaction (km)</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5–20 km</w:t>
            </w:r>
          </w:p>
        </w:tc>
        <w:tc>
          <w:tcPr>
            <w:tcW w:type="dxa" w:w="4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 km for digital transactions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4: </w:t>
            </w:r>
            <w:r>
              <w:rPr>
                <w:rFonts w:ascii="Arial" w:cs="Arial" w:eastAsia="Arial" w:hAnsi="Arial"/>
                <w:b/>
                <w:bCs/>
                <w:color w:val="FFFFFF"/>
                <w:sz w:val="26"/>
                <w:szCs w:val="26"/>
              </w:rPr>
              <w:t xml:space="preserve">Digital Account Opening / Video KYC (V-CIP)</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Digital account opening uses Aadhaar eKYC (electronic Know Your Customer) and, for remote account opening, Video Customer Identification Process (V-CIP) as mandated by RBI's 2020 guidelines, to enable new bank accounts to be opened without a physical branch visit. Aadhaar eKYC retrieves demographic data (name, address, date of birth, photo) directly from UIDAI's database using the customer's Aadhaar number and biometric consent, eliminating the need for physical document collection and manual data entry. V-CIP adds a live video call between a bank official and the customer for remote identity verification.</w:t>
      </w:r>
    </w:p>
    <w:p>
      <w:pPr>
        <w:pStyle w:val="Heading3"/>
        <w:spacing w:after="80" w:before="200"/>
      </w:pPr>
      <w:r>
        <w:rPr>
          <w:rFonts w:ascii="Arial" w:cs="Arial" w:eastAsia="Arial" w:hAnsi="Arial"/>
          <w:b/>
          <w:bCs/>
          <w:color w:val="0A1628"/>
          <w:sz w:val="26"/>
          <w:szCs w:val="26"/>
        </w:rPr>
        <w:t xml:space="preserve">GBPEM Scores: PMS 4 | RAS 3 | ICI 3 | FIQ 4 | CVDS 4 | Total: 18/25</w:t>
      </w:r>
    </w:p>
    <w:p>
      <w:pPr>
        <w:pStyle w:val="ListParagraph"/>
        <w:numPr>
          <w:ilvl w:val="0"/>
          <w:numId w:val="2"/>
        </w:numPr>
        <w:spacing w:after="40" w:before="40" w:line="276" w:lineRule="auto"/>
      </w:pPr>
      <w:r>
        <w:rPr>
          <w:rFonts w:ascii="Arial" w:cs="Arial" w:eastAsia="Arial" w:hAnsi="Arial"/>
          <w:color w:val="1A1A2E"/>
          <w:sz w:val="22"/>
          <w:szCs w:val="22"/>
        </w:rPr>
        <w:t xml:space="preserve">Traditional account opening (manual KYC): 3–7 business days; 8–12 physical documents; ₹150–300 per account processing cost</w:t>
      </w:r>
    </w:p>
    <w:p>
      <w:pPr>
        <w:pStyle w:val="ListParagraph"/>
        <w:numPr>
          <w:ilvl w:val="0"/>
          <w:numId w:val="2"/>
        </w:numPr>
        <w:spacing w:after="40" w:before="40" w:line="276" w:lineRule="auto"/>
      </w:pPr>
      <w:r>
        <w:rPr>
          <w:rFonts w:ascii="Arial" w:cs="Arial" w:eastAsia="Arial" w:hAnsi="Arial"/>
          <w:color w:val="1A1A2E"/>
          <w:sz w:val="22"/>
          <w:szCs w:val="22"/>
        </w:rPr>
        <w:t xml:space="preserve">Aadhaar eKYC at branch: 15–30 minutes; 1 document (Aadhaar); ₹30–50 per account</w:t>
      </w:r>
    </w:p>
    <w:p>
      <w:pPr>
        <w:pStyle w:val="ListParagraph"/>
        <w:numPr>
          <w:ilvl w:val="0"/>
          <w:numId w:val="2"/>
        </w:numPr>
        <w:spacing w:after="40" w:before="40" w:line="276" w:lineRule="auto"/>
      </w:pPr>
      <w:r>
        <w:rPr>
          <w:rFonts w:ascii="Arial" w:cs="Arial" w:eastAsia="Arial" w:hAnsi="Arial"/>
          <w:color w:val="1A1A2E"/>
          <w:sz w:val="22"/>
          <w:szCs w:val="22"/>
        </w:rPr>
        <w:t xml:space="preserve">V-CIP remote opening: 5–10 minutes; no branch visit; ₹20–40 per account</w:t>
      </w:r>
    </w:p>
    <w:p>
      <w:pPr>
        <w:pStyle w:val="ListParagraph"/>
        <w:numPr>
          <w:ilvl w:val="0"/>
          <w:numId w:val="2"/>
        </w:numPr>
        <w:spacing w:after="40" w:before="40" w:line="276" w:lineRule="auto"/>
      </w:pPr>
      <w:r>
        <w:rPr>
          <w:rFonts w:ascii="Arial" w:cs="Arial" w:eastAsia="Arial" w:hAnsi="Arial"/>
          <w:color w:val="1A1A2E"/>
          <w:sz w:val="22"/>
          <w:szCs w:val="22"/>
        </w:rPr>
        <w:t xml:space="preserve">C-KYC (Central KYC Registry): once eKYC is done, record stored centrally — customer need not repeat KYC at any other regulated entity</w:t>
      </w:r>
    </w:p>
    <w:p>
      <w:pPr>
        <w:spacing w:after="80" w:before="80"/>
      </w:pPr>
      <w:r>
        <w:t xml:space="preserve"/>
      </w:r>
    </w:p>
    <w:p>
      <w:pPr>
        <w:spacing w:after="100" w:before="80" w:line="276" w:lineRule="auto"/>
        <w:jc w:val="both"/>
      </w:pPr>
      <w:r>
        <w:rPr>
          <w:rFonts w:ascii="Arial" w:cs="Arial" w:eastAsia="Arial" w:hAnsi="Arial"/>
          <w:b w:val="false"/>
          <w:bCs w:val="false"/>
          <w:i w:val="false"/>
          <w:iCs w:val="false"/>
          <w:color w:val="1A1A2E"/>
          <w:sz w:val="22"/>
          <w:szCs w:val="22"/>
        </w:rPr>
        <w:t xml:space="preserve">Critical use cases for cooperative banking: Jan Dhan account onboarding for unbanked households; SHG group account opening (a single video session with the SHG leader can open accounts for the group); PACS member share account (eKYC at PACS operator level using PACS terminal); migrant worker accounts (V-CIP enables a migrant worker in a city to open a home-DCCB account remotely for remittance receipt).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1500"/>
        <w:gridCol w:w="18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2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APPROACH</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PREREQUISITES</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 TO DEPLOY</w:t>
            </w:r>
          </w:p>
        </w:tc>
        <w:tc>
          <w:tcPr>
            <w:tcW w:type="dxa" w:w="18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 eKYC + V-CIP + C-KYC + CERSAI integration</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API + video platform + RBI V-CIP approval</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90–120 days</w:t>
            </w:r>
          </w:p>
        </w:tc>
        <w:tc>
          <w:tcPr>
            <w:tcW w:type="dxa" w:w="18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5–15 lakhs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Aadhaar eKYC at all branches; V-CIP Phase 2</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eKYC module + biometric device at all branches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60–90 days</w:t>
            </w:r>
          </w:p>
        </w:tc>
        <w:tc>
          <w:tcPr>
            <w:tcW w:type="dxa" w:w="18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Aadhaar eKYC at HQ branch minimum</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One biometric device; UIDAI API access via CBS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30–60 days</w:t>
            </w:r>
          </w:p>
        </w:tc>
        <w:tc>
          <w:tcPr>
            <w:tcW w:type="dxa" w:w="18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lakhs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5: </w:t>
            </w:r>
            <w:r>
              <w:rPr>
                <w:rFonts w:ascii="Arial" w:cs="Arial" w:eastAsia="Arial" w:hAnsi="Arial"/>
                <w:b/>
                <w:bCs/>
                <w:color w:val="FFFFFF"/>
                <w:sz w:val="26"/>
                <w:szCs w:val="26"/>
              </w:rPr>
              <w:t xml:space="preserve">Digital Loan Origination System (LOS) for KCC and Agri Loans</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The Digital Loan Origination System for Kisan Credit Cards and agricultural loans is the single most transformative product for a DCCB's core business. It digitises the complete journey of a loan — from application to appraisal to sanction to disbursement — replacing a 14–42 day paper-heavy process with a 2–5 day digital workflow. The KCC is the anchor product of the DCCB: it constitutes the majority of most DCCBs' loan portfolios and directly serves the farmer-borrower who is the institution's primary reason for existence. A functional digital LOS reduces TAT by 60–70%, improves credit appraisal accuracy from 67% to 87%, and enables integration with external data sources that large banks use to assess creditworthiness — land records, PM Kisan database, satellite crop monitoring, and credit bureau history.</w:t>
      </w:r>
    </w:p>
    <w:p>
      <w:pPr>
        <w:pStyle w:val="Heading3"/>
        <w:spacing w:after="80" w:before="200"/>
      </w:pPr>
      <w:r>
        <w:rPr>
          <w:rFonts w:ascii="Arial" w:cs="Arial" w:eastAsia="Arial" w:hAnsi="Arial"/>
          <w:b/>
          <w:bCs/>
          <w:color w:val="0A1628"/>
          <w:sz w:val="26"/>
          <w:szCs w:val="26"/>
        </w:rPr>
        <w:t xml:space="preserve">GBPEM Scores: PMS 4 | RAS 4 | ICI 2 | FIQ 5 | CVDS 5 | Total: 20/25</w:t>
      </w:r>
    </w:p>
    <w:p>
      <w:pPr>
        <w:spacing w:after="100" w:before="80" w:line="276" w:lineRule="auto"/>
        <w:jc w:val="both"/>
      </w:pPr>
      <w:r>
        <w:rPr>
          <w:rFonts w:ascii="Arial" w:cs="Arial" w:eastAsia="Arial" w:hAnsi="Arial"/>
          <w:b w:val="false"/>
          <w:bCs w:val="false"/>
          <w:i w:val="false"/>
          <w:iCs w:val="false"/>
          <w:color w:val="1A1A2E"/>
          <w:sz w:val="22"/>
          <w:szCs w:val="22"/>
        </w:rPr>
        <w:t xml:space="preserve">The ICI score of 2 reflects genuine implementation complexity — this is not a product that can be activated in 30 days. It requires CBS integration, external API connections (land records, UIDAI, credit bureau, PM Kisan), workflow configuration, appraisal template design, staff training, and — for DM-RFIs — an AI credit scoring layer. However, the FIQ 5 and CVDS 5 scores make it the highest-priority product for any DCCB that has stabilised its CBS foundation.</w:t>
      </w:r>
    </w:p>
    <w:p>
      <w:pPr>
        <w:pStyle w:val="Heading3"/>
        <w:spacing w:after="80" w:before="200"/>
      </w:pPr>
      <w:r>
        <w:rPr>
          <w:rFonts w:ascii="Arial" w:cs="Arial" w:eastAsia="Arial" w:hAnsi="Arial"/>
          <w:b/>
          <w:bCs/>
          <w:color w:val="0A1628"/>
          <w:sz w:val="26"/>
          <w:szCs w:val="26"/>
        </w:rPr>
        <w:t xml:space="preserve">Large bank context:</w:t>
      </w:r>
    </w:p>
    <w:p>
      <w:pPr>
        <w:pStyle w:val="ListParagraph"/>
        <w:numPr>
          <w:ilvl w:val="0"/>
          <w:numId w:val="2"/>
        </w:numPr>
        <w:spacing w:after="40" w:before="40" w:line="276" w:lineRule="auto"/>
      </w:pPr>
      <w:r>
        <w:rPr>
          <w:rFonts w:ascii="Arial" w:cs="Arial" w:eastAsia="Arial" w:hAnsi="Arial"/>
          <w:color w:val="1A1A2E"/>
          <w:sz w:val="22"/>
          <w:szCs w:val="22"/>
        </w:rPr>
        <w:t xml:space="preserve">SBI e-Mudra: Instant ₹50,000 Mudra loan disbursement online for existing SBI customers with verified KYC and credit history. Processing time under 59 seconds for eligible borrowers.</w:t>
      </w:r>
    </w:p>
    <w:p>
      <w:pPr>
        <w:pStyle w:val="ListParagraph"/>
        <w:numPr>
          <w:ilvl w:val="0"/>
          <w:numId w:val="2"/>
        </w:numPr>
        <w:spacing w:after="40" w:before="40" w:line="276" w:lineRule="auto"/>
      </w:pPr>
      <w:r>
        <w:rPr>
          <w:rFonts w:ascii="Arial" w:cs="Arial" w:eastAsia="Arial" w:hAnsi="Arial"/>
          <w:color w:val="1A1A2E"/>
          <w:sz w:val="22"/>
          <w:szCs w:val="22"/>
        </w:rPr>
        <w:t xml:space="preserve">HDFC Bank Agri Loan Pre-Approval: Uses CBS transaction history, CIBIL score, and KCC utilisation data to pre-approve farmers before application, reducing branch time from hours to minutes.</w:t>
      </w:r>
    </w:p>
    <w:p>
      <w:pPr>
        <w:pStyle w:val="ListParagraph"/>
        <w:numPr>
          <w:ilvl w:val="0"/>
          <w:numId w:val="2"/>
        </w:numPr>
        <w:spacing w:after="40" w:before="40" w:line="276" w:lineRule="auto"/>
      </w:pPr>
      <w:r>
        <w:rPr>
          <w:rFonts w:ascii="Arial" w:cs="Arial" w:eastAsia="Arial" w:hAnsi="Arial"/>
          <w:color w:val="1A1A2E"/>
          <w:sz w:val="22"/>
          <w:szCs w:val="22"/>
        </w:rPr>
        <w:t xml:space="preserve">ICICI Bank KCC Digital Renewal: Existing KCC borrowers can renew their credit limit digitally without branch visit — appraisal done on CBS history + satellite crop data for enrolled geographies.</w:t>
      </w:r>
    </w:p>
    <w:p>
      <w:pPr>
        <w:pStyle w:val="ListParagraph"/>
        <w:numPr>
          <w:ilvl w:val="0"/>
          <w:numId w:val="2"/>
        </w:numPr>
        <w:spacing w:after="40" w:before="40" w:line="276" w:lineRule="auto"/>
      </w:pPr>
      <w:r>
        <w:rPr>
          <w:rFonts w:ascii="Arial" w:cs="Arial" w:eastAsia="Arial" w:hAnsi="Arial"/>
          <w:color w:val="1A1A2E"/>
          <w:sz w:val="22"/>
          <w:szCs w:val="22"/>
        </w:rPr>
        <w:t xml:space="preserve">Nabfins (NABARD subsidiary) Digital KCC: NABARD's own digital KCC model being piloted in select states as a proof-of-concept for DCCB deployment.</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Complete Digital KCC LOS — Data Integration Architecture: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54"/>
      </w:tblGrid>
      <w:tr>
        <w:trPr>
          <w:tblHeader/>
        </w:trPr>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DATA SOURCE</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API / SYSTEM</w:t>
            </w:r>
          </w:p>
        </w:tc>
        <w:tc>
          <w:tcPr>
            <w:tcW w:type="dxa" w:w="2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DATA RETRIEVED</w:t>
            </w:r>
          </w:p>
        </w:tc>
        <w:tc>
          <w:tcPr>
            <w:tcW w:type="dxa" w:w="32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PURPOSE IN APPRAISAL</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UIDAI</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Aadhaar eKYC API</w:t>
            </w:r>
          </w:p>
        </w:tc>
        <w:tc>
          <w:tcPr>
            <w:tcW w:type="dxa" w:w="2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Name, DOB, address, photo, biometric</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Borrower identity verification</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State Land Records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Bhulekh API (state-specific)</w:t>
            </w:r>
          </w:p>
        </w:tc>
        <w:tc>
          <w:tcPr>
            <w:tcW w:type="dxa" w:w="2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Survey number, khasra, land area, ownership</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Land holding verification for loan limit</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 Kisan Database</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 Kisan portal API</w:t>
            </w:r>
          </w:p>
        </w:tc>
        <w:tc>
          <w:tcPr>
            <w:tcW w:type="dxa" w:w="2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Farm area, landholding category, subsidy history</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Farm income proxy, eligibility check</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Credit Bureaus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CIBIL / Equifax / TransUnion API</w:t>
            </w:r>
          </w:p>
        </w:tc>
        <w:tc>
          <w:tcPr>
            <w:tcW w:type="dxa" w:w="2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Credit score, loan history, DPD data</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Credit risk assessment; NPA risk flag</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Records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ERP integration</w:t>
            </w:r>
          </w:p>
        </w:tc>
        <w:tc>
          <w:tcPr>
            <w:tcW w:type="dxa" w:w="2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Past KCC utilisation, repayment history, PACS dues</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Cooperative track record assessment</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Satellite / NDVI</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ISRO NRSC / commercial API (DM-RFI)</w:t>
            </w:r>
          </w:p>
        </w:tc>
        <w:tc>
          <w:tcPr>
            <w:tcW w:type="dxa" w:w="2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Normalised Difference Vegetation Index, crop health</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Crop risk scoring, PMFBY eligibility confirmation</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Weather API</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IMD API / AccuWeather (DM-RFI)</w:t>
            </w:r>
          </w:p>
        </w:tc>
        <w:tc>
          <w:tcPr>
            <w:tcW w:type="dxa" w:w="2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Rainfall, drought index, flood risk in khasra zone</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Agro-climatic risk layer in credit scoring</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PMFBY Portal</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AIDE (Agri Insurance DE)</w:t>
            </w:r>
          </w:p>
        </w:tc>
        <w:tc>
          <w:tcPr>
            <w:tcW w:type="dxa" w:w="2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Current year insurance enrollment, past claims</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Insurance verification; forced enrolment at disbursal</w:t>
            </w:r>
          </w:p>
        </w:tc>
      </w:tr>
    </w:tbl>
    <w:p>
      <w:pPr>
        <w:spacing w:after="80" w:before="80"/>
      </w:pPr>
      <w:r>
        <w:t xml:space="preserve"/>
      </w:r>
    </w:p>
    <w:p>
      <w:pPr>
        <w:pStyle w:val="Heading3"/>
        <w:spacing w:after="80" w:before="200"/>
      </w:pPr>
      <w:r>
        <w:rPr>
          <w:rFonts w:ascii="Arial" w:cs="Arial" w:eastAsia="Arial" w:hAnsi="Arial"/>
          <w:b/>
          <w:bCs/>
          <w:color w:val="0A1628"/>
          <w:sz w:val="26"/>
          <w:szCs w:val="26"/>
        </w:rPr>
        <w:t xml:space="preserve">Step-by-Step LOS Workflow by RFI Category:</w:t>
      </w:r>
    </w:p>
    <w:p>
      <w:pPr>
        <w:pStyle w:val="Heading4"/>
        <w:spacing w:after="60" w:before="160"/>
      </w:pPr>
      <w:r>
        <w:rPr>
          <w:rFonts w:ascii="Arial" w:cs="Arial" w:eastAsia="Arial" w:hAnsi="Arial"/>
          <w:b/>
          <w:bCs/>
          <w:i/>
          <w:iCs/>
          <w:color w:val="0E8A8A"/>
          <w:sz w:val="24"/>
          <w:szCs w:val="24"/>
        </w:rPr>
        <w:t xml:space="preserve">DM-RFI — Fully Automated with AI Credit Scoring</w:t>
      </w:r>
    </w:p>
    <w:p>
      <w:pPr>
        <w:pStyle w:val="ListParagraph"/>
        <w:numPr>
          <w:ilvl w:val="0"/>
          <w:numId w:val="3"/>
        </w:numPr>
        <w:spacing w:after="40" w:before="40" w:line="276" w:lineRule="auto"/>
      </w:pPr>
      <w:r>
        <w:rPr>
          <w:rFonts w:ascii="Arial" w:cs="Arial" w:eastAsia="Arial" w:hAnsi="Arial"/>
          <w:color w:val="1A1A2E"/>
          <w:sz w:val="22"/>
          <w:szCs w:val="22"/>
        </w:rPr>
        <w:t xml:space="preserve">Farmer submits digital application via DCCB mobile app or PACS terminal (Aadhaar OTP authentication)</w:t>
      </w:r>
    </w:p>
    <w:p>
      <w:pPr>
        <w:pStyle w:val="ListParagraph"/>
        <w:numPr>
          <w:ilvl w:val="0"/>
          <w:numId w:val="3"/>
        </w:numPr>
        <w:spacing w:after="40" w:before="40" w:line="276" w:lineRule="auto"/>
      </w:pPr>
      <w:r>
        <w:rPr>
          <w:rFonts w:ascii="Arial" w:cs="Arial" w:eastAsia="Arial" w:hAnsi="Arial"/>
          <w:color w:val="1A1A2E"/>
          <w:sz w:val="22"/>
          <w:szCs w:val="22"/>
        </w:rPr>
        <w:t xml:space="preserve">CBS LOS module triggers Aadhaar eKYC → retrieves KYC data automatically</w:t>
      </w:r>
    </w:p>
    <w:p>
      <w:pPr>
        <w:pStyle w:val="ListParagraph"/>
        <w:numPr>
          <w:ilvl w:val="0"/>
          <w:numId w:val="3"/>
        </w:numPr>
        <w:spacing w:after="40" w:before="40" w:line="276" w:lineRule="auto"/>
      </w:pPr>
      <w:r>
        <w:rPr>
          <w:rFonts w:ascii="Arial" w:cs="Arial" w:eastAsia="Arial" w:hAnsi="Arial"/>
          <w:color w:val="1A1A2E"/>
          <w:sz w:val="22"/>
          <w:szCs w:val="22"/>
        </w:rPr>
        <w:t xml:space="preserve">Bhulekh API query → land record fetched and matched against borrower Aadhaar-linked land data</w:t>
      </w:r>
    </w:p>
    <w:p>
      <w:pPr>
        <w:pStyle w:val="ListParagraph"/>
        <w:numPr>
          <w:ilvl w:val="0"/>
          <w:numId w:val="3"/>
        </w:numPr>
        <w:spacing w:after="40" w:before="40" w:line="276" w:lineRule="auto"/>
      </w:pPr>
      <w:r>
        <w:rPr>
          <w:rFonts w:ascii="Arial" w:cs="Arial" w:eastAsia="Arial" w:hAnsi="Arial"/>
          <w:color w:val="1A1A2E"/>
          <w:sz w:val="22"/>
          <w:szCs w:val="22"/>
        </w:rPr>
        <w:t xml:space="preserve">PM Kisan API cross-reference → farm size and income confirmed</w:t>
      </w:r>
    </w:p>
    <w:p>
      <w:pPr>
        <w:pStyle w:val="ListParagraph"/>
        <w:numPr>
          <w:ilvl w:val="0"/>
          <w:numId w:val="3"/>
        </w:numPr>
        <w:spacing w:after="40" w:before="40" w:line="276" w:lineRule="auto"/>
      </w:pPr>
      <w:r>
        <w:rPr>
          <w:rFonts w:ascii="Arial" w:cs="Arial" w:eastAsia="Arial" w:hAnsi="Arial"/>
          <w:color w:val="1A1A2E"/>
          <w:sz w:val="22"/>
          <w:szCs w:val="22"/>
        </w:rPr>
        <w:t xml:space="preserve">CIBIL/credit bureau API → credit score and DPD history retrieved in real time</w:t>
      </w:r>
    </w:p>
    <w:p>
      <w:pPr>
        <w:pStyle w:val="ListParagraph"/>
        <w:numPr>
          <w:ilvl w:val="0"/>
          <w:numId w:val="3"/>
        </w:numPr>
        <w:spacing w:after="40" w:before="40" w:line="276" w:lineRule="auto"/>
      </w:pPr>
      <w:r>
        <w:rPr>
          <w:rFonts w:ascii="Arial" w:cs="Arial" w:eastAsia="Arial" w:hAnsi="Arial"/>
          <w:color w:val="1A1A2E"/>
          <w:sz w:val="22"/>
          <w:szCs w:val="22"/>
        </w:rPr>
        <w:t xml:space="preserve">Satellite NDVI API → current season crop health assessed; weather risk score assigned</w:t>
      </w:r>
    </w:p>
    <w:p>
      <w:pPr>
        <w:pStyle w:val="ListParagraph"/>
        <w:numPr>
          <w:ilvl w:val="0"/>
          <w:numId w:val="3"/>
        </w:numPr>
        <w:spacing w:after="40" w:before="40" w:line="276" w:lineRule="auto"/>
      </w:pPr>
      <w:r>
        <w:rPr>
          <w:rFonts w:ascii="Arial" w:cs="Arial" w:eastAsia="Arial" w:hAnsi="Arial"/>
          <w:color w:val="1A1A2E"/>
          <w:sz w:val="22"/>
          <w:szCs w:val="22"/>
        </w:rPr>
        <w:t xml:space="preserve">AI credit scoring model (XGBoost + Random Forest) → PD (Probability of Default) score generated</w:t>
      </w:r>
    </w:p>
    <w:p>
      <w:pPr>
        <w:pStyle w:val="ListParagraph"/>
        <w:numPr>
          <w:ilvl w:val="0"/>
          <w:numId w:val="3"/>
        </w:numPr>
        <w:spacing w:after="40" w:before="40" w:line="276" w:lineRule="auto"/>
      </w:pPr>
      <w:r>
        <w:rPr>
          <w:rFonts w:ascii="Arial" w:cs="Arial" w:eastAsia="Arial" w:hAnsi="Arial"/>
          <w:color w:val="1A1A2E"/>
          <w:sz w:val="22"/>
          <w:szCs w:val="22"/>
        </w:rPr>
        <w:t xml:space="preserve">System auto-generates draft appraisal memo with all data fields pre-populated</w:t>
      </w:r>
    </w:p>
    <w:p>
      <w:pPr>
        <w:pStyle w:val="ListParagraph"/>
        <w:numPr>
          <w:ilvl w:val="0"/>
          <w:numId w:val="3"/>
        </w:numPr>
        <w:spacing w:after="40" w:before="40" w:line="276" w:lineRule="auto"/>
      </w:pPr>
      <w:r>
        <w:rPr>
          <w:rFonts w:ascii="Arial" w:cs="Arial" w:eastAsia="Arial" w:hAnsi="Arial"/>
          <w:color w:val="1A1A2E"/>
          <w:sz w:val="22"/>
          <w:szCs w:val="22"/>
        </w:rPr>
        <w:t xml:space="preserve">Branch manager reviews AI-generated appraisal on dashboard → approves digitally (digital signature)</w:t>
      </w:r>
    </w:p>
    <w:p>
      <w:pPr>
        <w:pStyle w:val="ListParagraph"/>
        <w:numPr>
          <w:ilvl w:val="0"/>
          <w:numId w:val="3"/>
        </w:numPr>
        <w:spacing w:after="40" w:before="40" w:line="276" w:lineRule="auto"/>
      </w:pPr>
      <w:r>
        <w:rPr>
          <w:rFonts w:ascii="Arial" w:cs="Arial" w:eastAsia="Arial" w:hAnsi="Arial"/>
          <w:color w:val="1A1A2E"/>
          <w:sz w:val="22"/>
          <w:szCs w:val="22"/>
        </w:rPr>
        <w:t xml:space="preserve">CBS auto-disburses to farmer's linked account; PMFBY premium deducted automatically</w:t>
      </w:r>
    </w:p>
    <w:p>
      <w:pPr>
        <w:pStyle w:val="ListParagraph"/>
        <w:numPr>
          <w:ilvl w:val="0"/>
          <w:numId w:val="3"/>
        </w:numPr>
        <w:spacing w:after="40" w:before="40" w:line="276" w:lineRule="auto"/>
      </w:pPr>
      <w:r>
        <w:rPr>
          <w:rFonts w:ascii="Arial" w:cs="Arial" w:eastAsia="Arial" w:hAnsi="Arial"/>
          <w:color w:val="1A1A2E"/>
          <w:sz w:val="22"/>
          <w:szCs w:val="22"/>
        </w:rPr>
        <w:t xml:space="preserve">Loan account activated in CBS; repayment schedule posted; NACH seasonal mandate created</w:t>
      </w:r>
    </w:p>
    <w:p>
      <w:pPr>
        <w:spacing w:after="100" w:before="80" w:line="276" w:lineRule="auto"/>
        <w:jc w:val="left"/>
      </w:pPr>
      <w:r>
        <w:rPr>
          <w:rFonts w:ascii="Arial" w:cs="Arial" w:eastAsia="Arial" w:hAnsi="Arial"/>
          <w:b w:val="false"/>
          <w:bCs w:val="false"/>
          <w:i/>
          <w:iCs/>
          <w:color w:val="1A1A2E"/>
          <w:sz w:val="22"/>
          <w:szCs w:val="22"/>
        </w:rPr>
        <w:t xml:space="preserve">TAT: 2–3 days (DM-RFI). Accuracy: 87%+ (AI-assisted appraisal). Cost per application: ₹200–400 (vs. ₹800–1,500 manual).</w:t>
      </w:r>
    </w:p>
    <w:p>
      <w:pPr>
        <w:spacing w:after="80" w:before="80"/>
      </w:pPr>
      <w:r>
        <w:t xml:space="preserve"/>
      </w:r>
    </w:p>
    <w:p>
      <w:pPr>
        <w:pStyle w:val="Heading4"/>
        <w:spacing w:after="60" w:before="160"/>
      </w:pPr>
      <w:r>
        <w:rPr>
          <w:rFonts w:ascii="Arial" w:cs="Arial" w:eastAsia="Arial" w:hAnsi="Arial"/>
          <w:b/>
          <w:bCs/>
          <w:i/>
          <w:iCs/>
          <w:color w:val="0E8A8A"/>
          <w:sz w:val="24"/>
          <w:szCs w:val="24"/>
        </w:rPr>
        <w:t xml:space="preserve">PD-RFI — Semi-Digital: Digital Form + Manual Land Verification + Digital Approval</w:t>
      </w:r>
    </w:p>
    <w:p>
      <w:pPr>
        <w:pStyle w:val="ListParagraph"/>
        <w:numPr>
          <w:ilvl w:val="0"/>
          <w:numId w:val="3"/>
        </w:numPr>
        <w:spacing w:after="40" w:before="40" w:line="276" w:lineRule="auto"/>
      </w:pPr>
      <w:r>
        <w:rPr>
          <w:rFonts w:ascii="Arial" w:cs="Arial" w:eastAsia="Arial" w:hAnsi="Arial"/>
          <w:color w:val="1A1A2E"/>
          <w:sz w:val="22"/>
          <w:szCs w:val="22"/>
        </w:rPr>
        <w:t xml:space="preserve">PACS operator assists farmer in completing digital KCC application form on PACS terminal (CBS LOS module)</w:t>
      </w:r>
    </w:p>
    <w:p>
      <w:pPr>
        <w:pStyle w:val="ListParagraph"/>
        <w:numPr>
          <w:ilvl w:val="0"/>
          <w:numId w:val="3"/>
        </w:numPr>
        <w:spacing w:after="40" w:before="40" w:line="276" w:lineRule="auto"/>
      </w:pPr>
      <w:r>
        <w:rPr>
          <w:rFonts w:ascii="Arial" w:cs="Arial" w:eastAsia="Arial" w:hAnsi="Arial"/>
          <w:color w:val="1A1A2E"/>
          <w:sz w:val="22"/>
          <w:szCs w:val="22"/>
        </w:rPr>
        <w:t xml:space="preserve">Aadhaar eKYC triggered → borrower data auto-populated in form</w:t>
      </w:r>
    </w:p>
    <w:p>
      <w:pPr>
        <w:pStyle w:val="ListParagraph"/>
        <w:numPr>
          <w:ilvl w:val="0"/>
          <w:numId w:val="3"/>
        </w:numPr>
        <w:spacing w:after="40" w:before="40" w:line="276" w:lineRule="auto"/>
      </w:pPr>
      <w:r>
        <w:rPr>
          <w:rFonts w:ascii="Arial" w:cs="Arial" w:eastAsia="Arial" w:hAnsi="Arial"/>
          <w:color w:val="1A1A2E"/>
          <w:sz w:val="22"/>
          <w:szCs w:val="22"/>
        </w:rPr>
        <w:t xml:space="preserve">CIBIL API → credit check completed digitally</w:t>
      </w:r>
    </w:p>
    <w:p>
      <w:pPr>
        <w:pStyle w:val="ListParagraph"/>
        <w:numPr>
          <w:ilvl w:val="0"/>
          <w:numId w:val="3"/>
        </w:numPr>
        <w:spacing w:after="40" w:before="40" w:line="276" w:lineRule="auto"/>
      </w:pPr>
      <w:r>
        <w:rPr>
          <w:rFonts w:ascii="Arial" w:cs="Arial" w:eastAsia="Arial" w:hAnsi="Arial"/>
          <w:color w:val="1A1A2E"/>
          <w:sz w:val="22"/>
          <w:szCs w:val="22"/>
        </w:rPr>
        <w:t xml:space="preserve">Land verification: field officer physically verifies Bhulekh record (no API; manual data entry into LOS)</w:t>
      </w:r>
    </w:p>
    <w:p>
      <w:pPr>
        <w:pStyle w:val="ListParagraph"/>
        <w:numPr>
          <w:ilvl w:val="0"/>
          <w:numId w:val="3"/>
        </w:numPr>
        <w:spacing w:after="40" w:before="40" w:line="276" w:lineRule="auto"/>
      </w:pPr>
      <w:r>
        <w:rPr>
          <w:rFonts w:ascii="Arial" w:cs="Arial" w:eastAsia="Arial" w:hAnsi="Arial"/>
          <w:color w:val="1A1A2E"/>
          <w:sz w:val="22"/>
          <w:szCs w:val="22"/>
        </w:rPr>
        <w:t xml:space="preserve">Appraisal memo generated by system with manual land data entered by officer</w:t>
      </w:r>
    </w:p>
    <w:p>
      <w:pPr>
        <w:pStyle w:val="ListParagraph"/>
        <w:numPr>
          <w:ilvl w:val="0"/>
          <w:numId w:val="3"/>
        </w:numPr>
        <w:spacing w:after="40" w:before="40" w:line="276" w:lineRule="auto"/>
      </w:pPr>
      <w:r>
        <w:rPr>
          <w:rFonts w:ascii="Arial" w:cs="Arial" w:eastAsia="Arial" w:hAnsi="Arial"/>
          <w:color w:val="1A1A2E"/>
          <w:sz w:val="22"/>
          <w:szCs w:val="22"/>
        </w:rPr>
        <w:t xml:space="preserve">Digital approval workflow: Branch Manager → Regional Manager (if &gt;₹3 lakhs) → digital sanction</w:t>
      </w:r>
    </w:p>
    <w:p>
      <w:pPr>
        <w:pStyle w:val="ListParagraph"/>
        <w:numPr>
          <w:ilvl w:val="0"/>
          <w:numId w:val="3"/>
        </w:numPr>
        <w:spacing w:after="40" w:before="40" w:line="276" w:lineRule="auto"/>
      </w:pPr>
      <w:r>
        <w:rPr>
          <w:rFonts w:ascii="Arial" w:cs="Arial" w:eastAsia="Arial" w:hAnsi="Arial"/>
          <w:color w:val="1A1A2E"/>
          <w:sz w:val="22"/>
          <w:szCs w:val="22"/>
        </w:rPr>
        <w:t xml:space="preserve">Disbursement to farmer account via CBS; manual PMFBY enrollment at branch if auto-enrolment not configured</w:t>
      </w:r>
    </w:p>
    <w:p>
      <w:pPr>
        <w:spacing w:after="100" w:before="80" w:line="276" w:lineRule="auto"/>
        <w:jc w:val="left"/>
      </w:pPr>
      <w:r>
        <w:rPr>
          <w:rFonts w:ascii="Arial" w:cs="Arial" w:eastAsia="Arial" w:hAnsi="Arial"/>
          <w:b w:val="false"/>
          <w:bCs w:val="false"/>
          <w:i/>
          <w:iCs/>
          <w:color w:val="1A1A2E"/>
          <w:sz w:val="22"/>
          <w:szCs w:val="22"/>
        </w:rPr>
        <w:t xml:space="preserve">TAT: 5–7 days (PD-RFI). Accuracy: 75–80%. Cost per application: ₹400–600.</w:t>
      </w:r>
    </w:p>
    <w:p>
      <w:pPr>
        <w:spacing w:after="80" w:before="80"/>
      </w:pPr>
      <w:r>
        <w:t xml:space="preserve"/>
      </w:r>
    </w:p>
    <w:p>
      <w:pPr>
        <w:pStyle w:val="Heading4"/>
        <w:spacing w:after="60" w:before="160"/>
      </w:pPr>
      <w:r>
        <w:rPr>
          <w:rFonts w:ascii="Arial" w:cs="Arial" w:eastAsia="Arial" w:hAnsi="Arial"/>
          <w:b/>
          <w:bCs/>
          <w:i/>
          <w:iCs/>
          <w:color w:val="0E8A8A"/>
          <w:sz w:val="24"/>
          <w:szCs w:val="24"/>
        </w:rPr>
        <w:t xml:space="preserve">PDC-RFI — Paper-to-Digital Hybrid: Physical Forms Scanned, Manual Appraisal, Digital Disbursement</w:t>
      </w:r>
    </w:p>
    <w:p>
      <w:pPr>
        <w:pStyle w:val="ListParagraph"/>
        <w:numPr>
          <w:ilvl w:val="0"/>
          <w:numId w:val="3"/>
        </w:numPr>
        <w:spacing w:after="40" w:before="40" w:line="276" w:lineRule="auto"/>
      </w:pPr>
      <w:r>
        <w:rPr>
          <w:rFonts w:ascii="Arial" w:cs="Arial" w:eastAsia="Arial" w:hAnsi="Arial"/>
          <w:color w:val="1A1A2E"/>
          <w:sz w:val="22"/>
          <w:szCs w:val="22"/>
        </w:rPr>
        <w:t xml:space="preserve">Physical KCC application form filled at PACS; PACS operator scans and uploads to CBS</w:t>
      </w:r>
    </w:p>
    <w:p>
      <w:pPr>
        <w:pStyle w:val="ListParagraph"/>
        <w:numPr>
          <w:ilvl w:val="0"/>
          <w:numId w:val="3"/>
        </w:numPr>
        <w:spacing w:after="40" w:before="40" w:line="276" w:lineRule="auto"/>
      </w:pPr>
      <w:r>
        <w:rPr>
          <w:rFonts w:ascii="Arial" w:cs="Arial" w:eastAsia="Arial" w:hAnsi="Arial"/>
          <w:color w:val="1A1A2E"/>
          <w:sz w:val="22"/>
          <w:szCs w:val="22"/>
        </w:rPr>
        <w:t xml:space="preserve">Branch staff manually keys in applicant data from scanned form into CBS</w:t>
      </w:r>
    </w:p>
    <w:p>
      <w:pPr>
        <w:pStyle w:val="ListParagraph"/>
        <w:numPr>
          <w:ilvl w:val="0"/>
          <w:numId w:val="3"/>
        </w:numPr>
        <w:spacing w:after="40" w:before="40" w:line="276" w:lineRule="auto"/>
      </w:pPr>
      <w:r>
        <w:rPr>
          <w:rFonts w:ascii="Arial" w:cs="Arial" w:eastAsia="Arial" w:hAnsi="Arial"/>
          <w:color w:val="1A1A2E"/>
          <w:sz w:val="22"/>
          <w:szCs w:val="22"/>
        </w:rPr>
        <w:t xml:space="preserve">Physical land records inspected by field officer; data entered manually</w:t>
      </w:r>
    </w:p>
    <w:p>
      <w:pPr>
        <w:pStyle w:val="ListParagraph"/>
        <w:numPr>
          <w:ilvl w:val="0"/>
          <w:numId w:val="3"/>
        </w:numPr>
        <w:spacing w:after="40" w:before="40" w:line="276" w:lineRule="auto"/>
      </w:pPr>
      <w:r>
        <w:rPr>
          <w:rFonts w:ascii="Arial" w:cs="Arial" w:eastAsia="Arial" w:hAnsi="Arial"/>
          <w:color w:val="1A1A2E"/>
          <w:sz w:val="22"/>
          <w:szCs w:val="22"/>
        </w:rPr>
        <w:t xml:space="preserve">Manual appraisal by credit officer using CBS loan account history and physical documentation</w:t>
      </w:r>
    </w:p>
    <w:p>
      <w:pPr>
        <w:pStyle w:val="ListParagraph"/>
        <w:numPr>
          <w:ilvl w:val="0"/>
          <w:numId w:val="3"/>
        </w:numPr>
        <w:spacing w:after="40" w:before="40" w:line="276" w:lineRule="auto"/>
      </w:pPr>
      <w:r>
        <w:rPr>
          <w:rFonts w:ascii="Arial" w:cs="Arial" w:eastAsia="Arial" w:hAnsi="Arial"/>
          <w:color w:val="1A1A2E"/>
          <w:sz w:val="22"/>
          <w:szCs w:val="22"/>
        </w:rPr>
        <w:t xml:space="preserve">Paper sanction order; digital disbursement to farmer account via CBS</w:t>
      </w:r>
    </w:p>
    <w:p>
      <w:pPr>
        <w:pStyle w:val="ListParagraph"/>
        <w:numPr>
          <w:ilvl w:val="0"/>
          <w:numId w:val="3"/>
        </w:numPr>
        <w:spacing w:after="40" w:before="40" w:line="276" w:lineRule="auto"/>
      </w:pPr>
      <w:r>
        <w:rPr>
          <w:rFonts w:ascii="Arial" w:cs="Arial" w:eastAsia="Arial" w:hAnsi="Arial"/>
          <w:color w:val="1A1A2E"/>
          <w:sz w:val="22"/>
          <w:szCs w:val="22"/>
        </w:rPr>
        <w:t xml:space="preserve">Manual NACH setup or physical loan repayment by farmer at PACS counter</w:t>
      </w:r>
    </w:p>
    <w:p>
      <w:pPr>
        <w:spacing w:after="100" w:before="80" w:line="276" w:lineRule="auto"/>
        <w:jc w:val="left"/>
      </w:pPr>
      <w:r>
        <w:rPr>
          <w:rFonts w:ascii="Arial" w:cs="Arial" w:eastAsia="Arial" w:hAnsi="Arial"/>
          <w:b w:val="false"/>
          <w:bCs w:val="false"/>
          <w:i/>
          <w:iCs/>
          <w:color w:val="1A1A2E"/>
          <w:sz w:val="22"/>
          <w:szCs w:val="22"/>
        </w:rPr>
        <w:t xml:space="preserve">TAT: 10–14 days (PDC-RFI). Accuracy: 70%. Cost per application: ₹600–900.</w:t>
      </w:r>
    </w:p>
    <w:p>
      <w:pPr>
        <w:spacing w:after="80" w:before="80"/>
      </w:pPr>
      <w:r>
        <w:t xml:space="preserve"/>
      </w:r>
    </w:p>
    <w:tbl>
      <w:tblPr>
        <w:tblW w:type="dxa" w:w="9254"/>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300"/>
        <w:gridCol w:w="1300"/>
        <w:gridCol w:w="2354"/>
      </w:tblGrid>
      <w:tr>
        <w:trPr>
          <w:tblHeader/>
        </w:trPr>
        <w:tc>
          <w:tcPr>
            <w:tcW w:type="dxa" w:w="2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METRIC</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BASELINE (MANUAL)</w:t>
            </w:r>
          </w:p>
        </w:tc>
        <w:tc>
          <w:tcPr>
            <w:tcW w:type="dxa" w:w="13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w:t>
            </w:r>
          </w:p>
        </w:tc>
        <w:tc>
          <w:tcPr>
            <w:tcW w:type="dxa" w:w="13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w:t>
            </w:r>
          </w:p>
        </w:tc>
        <w:tc>
          <w:tcPr>
            <w:tcW w:type="dxa" w:w="2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Loan TAT (days)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14–42</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10–14</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5–7</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2–3</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Credit accuracy (%)</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~67%</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~70%</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~78%</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~87%</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Cost per application (₹)</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₹800–1,500</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₹600–900</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₹400–600</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₹200–400</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file retrieval time</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30–60 mins</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10–15 mins</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 mins</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&lt;1 min (digital)</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PMFBY enrolment rate at KCC</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&lt;40%</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70%</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95%+ (auto)</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 at 1 year (% of KCC portfolio)</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8–12%</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7–10%</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5–7%</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6: </w:t>
            </w:r>
            <w:r>
              <w:rPr>
                <w:rFonts w:ascii="Arial" w:cs="Arial" w:eastAsia="Arial" w:hAnsi="Arial"/>
                <w:b/>
                <w:bCs/>
                <w:color w:val="FFFFFF"/>
                <w:sz w:val="26"/>
                <w:szCs w:val="26"/>
              </w:rPr>
              <w:t xml:space="preserve">ATM / Micro-ATM / AePS Cash-Out Network</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The cash-out network — comprising full ATMs, micro-ATMs, and AePS terminals — is the physical infrastructure that makes digital bank accounts usable for rural clients who live in a predominantly cash economy. Without reliable cash-out infrastructure, a digital account is a theoretical asset, not a practical one. The cooperative banking sector's historical weakness in cash-out infrastructure is a primary driver of dormant account rates — the 450 million Jan Dhan accounts with less than 20% active usage are largely a cash-access infrastructure failure, not a customer motivation failure.</w:t>
      </w:r>
    </w:p>
    <w:p>
      <w:pPr>
        <w:pStyle w:val="ListParagraph"/>
        <w:numPr>
          <w:ilvl w:val="0"/>
          <w:numId w:val="2"/>
        </w:numPr>
        <w:spacing w:after="40" w:before="40" w:line="276" w:lineRule="auto"/>
      </w:pPr>
      <w:r>
        <w:rPr>
          <w:rFonts w:ascii="Arial" w:cs="Arial" w:eastAsia="Arial" w:hAnsi="Arial"/>
          <w:color w:val="1A1A2E"/>
          <w:sz w:val="22"/>
          <w:szCs w:val="22"/>
        </w:rPr>
        <w:t xml:space="preserve">Full ATM: SBI operates 60,000+ ATMs; HDFC 20,993; ICICI 11,983. India total: 1.46 million (2024). Cost: ₹3–8 lakhs per ATM, plus ₹1–2 lakhs annual maintenance. Viable only at district HQ level for a DCCB.</w:t>
      </w:r>
    </w:p>
    <w:p>
      <w:pPr>
        <w:pStyle w:val="ListParagraph"/>
        <w:numPr>
          <w:ilvl w:val="0"/>
          <w:numId w:val="2"/>
        </w:numPr>
        <w:spacing w:after="40" w:before="40" w:line="276" w:lineRule="auto"/>
      </w:pPr>
      <w:r>
        <w:rPr>
          <w:rFonts w:ascii="Arial" w:cs="Arial" w:eastAsia="Arial" w:hAnsi="Arial"/>
          <w:color w:val="1A1A2E"/>
          <w:sz w:val="22"/>
          <w:szCs w:val="22"/>
        </w:rPr>
        <w:t xml:space="preserve">Micro-ATM: ₹8,000–15,000 per device. Smartphone + card swipe device + AePS module. BC agent carries and operates. Enables RuPay card-based cash withdrawal and balance inquiry. Best deployed at block-level PACS service areas.</w:t>
      </w:r>
    </w:p>
    <w:p>
      <w:pPr>
        <w:pStyle w:val="ListParagraph"/>
        <w:numPr>
          <w:ilvl w:val="0"/>
          <w:numId w:val="2"/>
        </w:numPr>
        <w:spacing w:after="40" w:before="40" w:line="276" w:lineRule="auto"/>
      </w:pPr>
      <w:r>
        <w:rPr>
          <w:rFonts w:ascii="Arial" w:cs="Arial" w:eastAsia="Arial" w:hAnsi="Arial"/>
          <w:color w:val="1A1A2E"/>
          <w:sz w:val="22"/>
          <w:szCs w:val="22"/>
        </w:rPr>
        <w:t xml:space="preserve">AePS Terminal: The minimum viable cash-out device. Aadhaar biometric only — no card, no PIN, no literacy required. Commission: ₹1–2 per transaction to BC agent. Appropriate for Segment C clients in remote areas.</w:t>
      </w:r>
    </w:p>
    <w:p>
      <w:pPr>
        <w:pStyle w:val="Heading3"/>
        <w:spacing w:after="80" w:before="200"/>
      </w:pPr>
      <w:r>
        <w:rPr>
          <w:rFonts w:ascii="Arial" w:cs="Arial" w:eastAsia="Arial" w:hAnsi="Arial"/>
          <w:b/>
          <w:bCs/>
          <w:color w:val="0A1628"/>
          <w:sz w:val="26"/>
          <w:szCs w:val="26"/>
        </w:rPr>
        <w:t xml:space="preserve">BC Agent Economics:</w:t>
      </w:r>
    </w:p>
    <w:p>
      <w:pPr>
        <w:spacing w:after="100" w:before="80" w:line="276" w:lineRule="auto"/>
        <w:jc w:val="both"/>
      </w:pPr>
      <w:r>
        <w:rPr>
          <w:rFonts w:ascii="Arial" w:cs="Arial" w:eastAsia="Arial" w:hAnsi="Arial"/>
          <w:b w:val="false"/>
          <w:bCs w:val="false"/>
          <w:i w:val="false"/>
          <w:iCs w:val="false"/>
          <w:color w:val="1A1A2E"/>
          <w:sz w:val="22"/>
          <w:szCs w:val="22"/>
        </w:rPr>
        <w:t xml:space="preserve">The Business Correspondent agent is the human infrastructure layer enabling digital products to reach the last mile. A viable BC agent economic model is critical to sustainable rural digital banking.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54"/>
      </w:tblGrid>
      <w:tr>
        <w:trPr>
          <w:tblHeader/>
        </w:trPr>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TRANSACTION TYPE</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BC COMMISSION (₹)</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MINIMUM VOLUME/DAY</w:t>
            </w:r>
          </w:p>
        </w:tc>
        <w:tc>
          <w:tcPr>
            <w:tcW w:type="dxa" w:w="31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MONTHLY INCOME POTENTIAL (₹)</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AePS cash withdrawal/deposit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 transactions</w:t>
            </w:r>
          </w:p>
        </w:tc>
        <w:tc>
          <w:tcPr>
            <w:tcW w:type="dxa" w:w="3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₹600–1,200</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 bill payment</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 transactions</w:t>
            </w:r>
          </w:p>
        </w:tc>
        <w:tc>
          <w:tcPr>
            <w:tcW w:type="dxa" w:w="3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₹1,350–2,250</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Account opening assisted</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₹50–100</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 accounts</w:t>
            </w:r>
          </w:p>
        </w:tc>
        <w:tc>
          <w:tcPr>
            <w:tcW w:type="dxa" w:w="3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₹3,000–6,000</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KCC loan application assisted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₹100–200</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 application</w:t>
            </w:r>
          </w:p>
        </w:tc>
        <w:tc>
          <w:tcPr>
            <w:tcW w:type="dxa" w:w="3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₹3,000–6,000</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PMFBY enrollment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 enrollments</w:t>
            </w:r>
          </w:p>
        </w:tc>
        <w:tc>
          <w:tcPr>
            <w:tcW w:type="dxa" w:w="3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₹3,000</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TOTAL MONTHLY (active BC)</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w:r>
          </w:p>
        </w:tc>
        <w:tc>
          <w:tcPr>
            <w:tcW w:type="dxa" w:w="3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₹10,950–18,450</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800"/>
        <w:gridCol w:w="25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FULL ATM</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MICRO-ATM</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AEPS TERMINAL</w:t>
            </w:r>
          </w:p>
        </w:tc>
        <w:tc>
          <w:tcPr>
            <w:tcW w:type="dxa" w:w="25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TARGET COVERAGE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2–3 at district HQ + shared ATM network</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Every PACS BC agent</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Every PACS and BC agent</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95% gram panchayat coverage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 at district HQ</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Block-level PACS BC agents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District + block level</w:t>
            </w:r>
          </w:p>
        </w:tc>
        <w:tc>
          <w:tcPr>
            <w:tcW w:type="dxa" w:w="2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70% gram panchayat coverage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None (use shared ATM network)</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None initially</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District HQ + 1–2 block BCs</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20–30% coverage initially</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7: </w:t>
            </w:r>
            <w:r>
              <w:rPr>
                <w:rFonts w:ascii="Arial" w:cs="Arial" w:eastAsia="Arial" w:hAnsi="Arial"/>
                <w:b/>
                <w:bCs/>
                <w:color w:val="FFFFFF"/>
                <w:sz w:val="26"/>
                <w:szCs w:val="26"/>
              </w:rPr>
              <w:t xml:space="preserve">Insurance and Investment Product Distribution</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Insurance and investment product distribution through the bank's existing client and account infrastructure (bancassurance) is a zero-capital-risk revenue stream where the DCCB acts as a distributor of insurance and investment products for third-party providers, earning commission income without taking any underwriting risk. For large banks — SBI Life, SBI General, HDFC Life, ICICI Prudential — bancassurance is a multi-thousand-crore revenue line. For DCCBs, the equivalent opportunity is primarily in government-mandated schemes that carry no actuarial risk and have pre-defined commission structures.</w:t>
      </w:r>
    </w:p>
    <w:p>
      <w:pPr>
        <w:pStyle w:val="Heading3"/>
        <w:spacing w:after="80" w:before="200"/>
      </w:pPr>
      <w:r>
        <w:rPr>
          <w:rFonts w:ascii="Arial" w:cs="Arial" w:eastAsia="Arial" w:hAnsi="Arial"/>
          <w:b/>
          <w:bCs/>
          <w:color w:val="0A1628"/>
          <w:sz w:val="26"/>
          <w:szCs w:val="26"/>
        </w:rPr>
        <w:t xml:space="preserve">GBPEM Scores: PMS 5 | RAS 4 | ICI 4 | FIQ 4 | CVDS 5 | Total: 22/25</w:t>
      </w:r>
    </w:p>
    <w:p>
      <w:pPr>
        <w:pStyle w:val="Heading3"/>
        <w:spacing w:after="80" w:before="200"/>
      </w:pPr>
      <w:r>
        <w:rPr>
          <w:rFonts w:ascii="Arial" w:cs="Arial" w:eastAsia="Arial" w:hAnsi="Arial"/>
          <w:b/>
          <w:bCs/>
          <w:color w:val="0A1628"/>
          <w:sz w:val="26"/>
          <w:szCs w:val="26"/>
        </w:rPr>
        <w:t xml:space="preserve">PMFBY — The Critical Insurance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Pradhan Mantri Fasal Bima Yojana is the most important insurance product for DCCB farmer clients. The government subsidy covers 85%+ of the total premium — the farmer pays only 1.5% of sum insured for rabi crops, 2% for kharif, and 5% for commercial/horticultural crops. The DCCB's role is: auto-enrol all KCC borrowers at the time of KCC disbursement; deduct premium from the loan account; submit enrollment data to the PMFBY portal; process and forward claims. The entire PMFBY workflow is manageable within the CBS LOS module.</w:t>
      </w:r>
    </w:p>
    <w:p>
      <w:pPr>
        <w:pStyle w:val="ListParagraph"/>
        <w:numPr>
          <w:ilvl w:val="0"/>
          <w:numId w:val="2"/>
        </w:numPr>
        <w:spacing w:after="40" w:before="40" w:line="276" w:lineRule="auto"/>
      </w:pPr>
      <w:r>
        <w:rPr>
          <w:rFonts w:ascii="Arial" w:cs="Arial" w:eastAsia="Arial" w:hAnsi="Arial"/>
          <w:color w:val="1A1A2E"/>
          <w:sz w:val="22"/>
          <w:szCs w:val="22"/>
        </w:rPr>
        <w:t xml:space="preserve">PM Jan Suraksha Schemes: PMSBY (accidental death/disability ₹2 lakh cover, ₹20/year premium) and PMJJBY (life cover ₹2 lakh, ₹436/year) — mandatory offer to all savings account holders via account auto-debit mandate</w:t>
      </w:r>
    </w:p>
    <w:p>
      <w:pPr>
        <w:pStyle w:val="ListParagraph"/>
        <w:numPr>
          <w:ilvl w:val="0"/>
          <w:numId w:val="2"/>
        </w:numPr>
        <w:spacing w:after="40" w:before="40" w:line="276" w:lineRule="auto"/>
      </w:pPr>
      <w:r>
        <w:rPr>
          <w:rFonts w:ascii="Arial" w:cs="Arial" w:eastAsia="Arial" w:hAnsi="Arial"/>
          <w:color w:val="1A1A2E"/>
          <w:sz w:val="22"/>
          <w:szCs w:val="22"/>
        </w:rPr>
        <w:t xml:space="preserve">Atal Pension Yojana (APY): Enrollment for unorganised sector workers aged 18–40. Government co-contributes for eligible enrollees. DCCB earns enrollment fee from PFRDA.</w:t>
      </w:r>
    </w:p>
    <w:p>
      <w:pPr>
        <w:pStyle w:val="ListParagraph"/>
        <w:numPr>
          <w:ilvl w:val="0"/>
          <w:numId w:val="2"/>
        </w:numPr>
        <w:spacing w:after="40" w:before="40" w:line="276" w:lineRule="auto"/>
      </w:pPr>
      <w:r>
        <w:rPr>
          <w:rFonts w:ascii="Arial" w:cs="Arial" w:eastAsia="Arial" w:hAnsi="Arial"/>
          <w:color w:val="1A1A2E"/>
          <w:sz w:val="22"/>
          <w:szCs w:val="22"/>
        </w:rPr>
        <w:t xml:space="preserve">Kisan Vikas Patra and National Savings Certificates: Sold through DCCB in partnership with India Post or directly via NABARD bonds offering</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54"/>
      </w:tblGrid>
      <w:tr>
        <w:trPr>
          <w:tblHeader/>
        </w:trPr>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REVENUE MECHANISM</w:t>
            </w:r>
          </w:p>
        </w:tc>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ANNUAL REVENUE POTENTIAL PER DCCB</w:t>
            </w:r>
          </w:p>
        </w:tc>
        <w:tc>
          <w:tcPr>
            <w:tcW w:type="dxa" w:w="2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CLIENT BENEFIT</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PMFBY</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 (service obligation); reputational + retention value</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 direct revenue</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Crop loss protection; farmer financial resilience</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PMSBY</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₹5–10 per enrollment</w:t>
            </w:r>
          </w:p>
        </w:tc>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₹25,000–50,000 (5,000 accounts)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Accidental insurance for unbanked</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PMJJBY</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₹10–15 per enrollment</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₹50,000–75,000 (5,000 accounts)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Life cover for informal sector</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APY</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₹120 PFRDA incentive per enrollee</w:t>
            </w:r>
          </w:p>
        </w:tc>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₹60,000–1,20,000 (500–1,000 enrollees)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Pension for unorganised workers</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Insurance tie-up (3rd party)</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15–20% first-year commission</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₹5–20 lakhs (varies by volume)</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Comprehensive rural insurance</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8: </w:t>
            </w:r>
            <w:r>
              <w:rPr>
                <w:rFonts w:ascii="Arial" w:cs="Arial" w:eastAsia="Arial" w:hAnsi="Arial"/>
                <w:b/>
                <w:bCs/>
                <w:color w:val="FFFFFF"/>
                <w:sz w:val="26"/>
                <w:szCs w:val="26"/>
              </w:rPr>
              <w:t xml:space="preserve">Bharat Bill Payment System (BBPS) — Utility Bill Collection</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BBPS is NPCI's interoperable bill payment platform that connects billers (electricity distribution companies, telecom operators, gas utilities, water boards, schools, municipal authorities) with collecting agents (banks, payment companies, BC agents). Any NPCI-certified BBPS Operating Unit can collect any biller's payments and earn a ₹3–5 commission per transaction. For a DCCB's PACS network and BC agents, BBPS represents a recurring commission income stream that simultaneously incentivises digital adoption and delivers genuine convenience to rural households who currently travel 10–20 kilometres to pay electricity bills.</w:t>
      </w:r>
    </w:p>
    <w:p>
      <w:pPr>
        <w:pStyle w:val="Heading3"/>
        <w:spacing w:after="80" w:before="200"/>
      </w:pPr>
      <w:r>
        <w:rPr>
          <w:rFonts w:ascii="Arial" w:cs="Arial" w:eastAsia="Arial" w:hAnsi="Arial"/>
          <w:b/>
          <w:bCs/>
          <w:color w:val="0A1628"/>
          <w:sz w:val="26"/>
          <w:szCs w:val="26"/>
        </w:rPr>
        <w:t xml:space="preserve">GBPEM Scores: PMS 5 | RAS 5 | ICI 4 | FIQ 4 | CVDS 5 | Total: 23/25</w:t>
      </w:r>
    </w:p>
    <w:p>
      <w:pPr>
        <w:pStyle w:val="Heading3"/>
        <w:spacing w:after="80" w:before="200"/>
      </w:pPr>
      <w:r>
        <w:rPr>
          <w:rFonts w:ascii="Arial" w:cs="Arial" w:eastAsia="Arial" w:hAnsi="Arial"/>
          <w:b/>
          <w:bCs/>
          <w:color w:val="0A1628"/>
          <w:sz w:val="26"/>
          <w:szCs w:val="26"/>
        </w:rPr>
        <w:t xml:space="preserve">Revenue Model Illustration:</w:t>
      </w:r>
    </w:p>
    <w:p>
      <w:pPr>
        <w:spacing w:after="100" w:before="80" w:line="276" w:lineRule="auto"/>
        <w:jc w:val="both"/>
      </w:pPr>
      <w:r>
        <w:rPr>
          <w:rFonts w:ascii="Arial" w:cs="Arial" w:eastAsia="Arial" w:hAnsi="Arial"/>
          <w:b w:val="false"/>
          <w:bCs w:val="false"/>
          <w:i w:val="false"/>
          <w:iCs w:val="false"/>
          <w:color w:val="1A1A2E"/>
          <w:sz w:val="22"/>
          <w:szCs w:val="22"/>
        </w:rPr>
        <w:t xml:space="preserve">A PACS BC agent serving 3,000 rural households in a block-level gram panchayat. Average household pays 2 utility bills per month (electricity + mobile/DTH). Commission: ₹4 per transaction. Monthly PACS income: 3,000 × 2 × ₹4 = ₹24,000. Annual income for PACS: ₹2.88 lakhs. This income directly funds the PACS operator's digital activity — creating a self-sustaining digital adoption incentive without subsidy.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800"/>
        <w:gridCol w:w="23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BBPS APPROACH</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INVESTMENT</w:t>
            </w:r>
          </w:p>
        </w:tc>
        <w:tc>
          <w:tcPr>
            <w:tcW w:type="dxa" w:w="2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MONTHLY REVENUE POTENTIAL</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Register as BBPS BOU with NPCI; all BC agents as sub-agents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90–120 days for BOU registration</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₹5–10 lakhs (NPCI certification)</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₹50,000–2 lakhs per DCCB</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Tie up with existing BOU as sub-agent; deploy at PACS BC agents</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30–60 days (sub-agent)</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 (device + training)</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₹20,000–80,000 per DCCB</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via BC agent sub-agent model; district HQ initially</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30–45 days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₹50,000–1 lakh</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₹5,000–20,000 initially</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9: </w:t>
            </w:r>
            <w:r>
              <w:rPr>
                <w:rFonts w:ascii="Arial" w:cs="Arial" w:eastAsia="Arial" w:hAnsi="Arial"/>
                <w:b/>
                <w:bCs/>
                <w:color w:val="FFFFFF"/>
                <w:sz w:val="26"/>
                <w:szCs w:val="26"/>
              </w:rPr>
              <w:t xml:space="preserve">RuPay Debit Card and POS / mPOS Network</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The RuPay debit card — issued by NPCI as India's domestic payment network — is the physical credential that connects a bank account to the digital payment ecosystem. Without a RuPay card or UPI-linked VPA, a bank account cannot be used at ATMs, mPOS terminals, or online. For DCCB clients, RuPay card issuance is the foundational step in digital inclusion — every Jan Dhan account mandatorily receives a RuPay card, but issuance alone is insufficient; merchant acceptance infrastructure and client activation are equally critical.</w:t>
      </w:r>
    </w:p>
    <w:p>
      <w:pPr>
        <w:pStyle w:val="Heading3"/>
        <w:spacing w:after="80" w:before="200"/>
      </w:pPr>
      <w:r>
        <w:rPr>
          <w:rFonts w:ascii="Arial" w:cs="Arial" w:eastAsia="Arial" w:hAnsi="Arial"/>
          <w:b/>
          <w:bCs/>
          <w:color w:val="0A1628"/>
          <w:sz w:val="26"/>
          <w:szCs w:val="26"/>
        </w:rPr>
        <w:t xml:space="preserve">GBPEM Scores: PMS 5 | RAS 5 | ICI 3 | FIQ 4 | CVDS 5 | Total: 22/25</w:t>
      </w:r>
    </w:p>
    <w:p>
      <w:pPr>
        <w:pStyle w:val="ListParagraph"/>
        <w:numPr>
          <w:ilvl w:val="0"/>
          <w:numId w:val="2"/>
        </w:numPr>
        <w:spacing w:after="40" w:before="40" w:line="276" w:lineRule="auto"/>
      </w:pPr>
      <w:r>
        <w:rPr>
          <w:rFonts w:ascii="Arial" w:cs="Arial" w:eastAsia="Arial" w:hAnsi="Arial"/>
          <w:color w:val="1A1A2E"/>
          <w:sz w:val="22"/>
          <w:szCs w:val="22"/>
        </w:rPr>
        <w:t xml:space="preserve">RuPay Rupee Card: Zero annual fee for PMJDY accounts; ₹99–199 per year for premium variants; NPCI-operated as national alternative to Visa/Mastercard</w:t>
      </w:r>
    </w:p>
    <w:p>
      <w:pPr>
        <w:pStyle w:val="ListParagraph"/>
        <w:numPr>
          <w:ilvl w:val="0"/>
          <w:numId w:val="2"/>
        </w:numPr>
        <w:spacing w:after="40" w:before="40" w:line="276" w:lineRule="auto"/>
      </w:pPr>
      <w:r>
        <w:rPr>
          <w:rFonts w:ascii="Arial" w:cs="Arial" w:eastAsia="Arial" w:hAnsi="Arial"/>
          <w:color w:val="1A1A2E"/>
          <w:sz w:val="22"/>
          <w:szCs w:val="22"/>
        </w:rPr>
        <w:t xml:space="preserve">mPOS (Mobile Point-of-Sale): Smartphone with card swipe dongle or NFC tap; ₹2,000–5,000 per terminal; deployed at PACS, BC agents, agri input shops, milk cooperatives, mandis</w:t>
      </w:r>
    </w:p>
    <w:p>
      <w:pPr>
        <w:pStyle w:val="ListParagraph"/>
        <w:numPr>
          <w:ilvl w:val="0"/>
          <w:numId w:val="2"/>
        </w:numPr>
        <w:spacing w:after="40" w:before="40" w:line="276" w:lineRule="auto"/>
      </w:pPr>
      <w:r>
        <w:rPr>
          <w:rFonts w:ascii="Arial" w:cs="Arial" w:eastAsia="Arial" w:hAnsi="Arial"/>
          <w:color w:val="1A1A2E"/>
          <w:sz w:val="22"/>
          <w:szCs w:val="22"/>
        </w:rPr>
        <w:t xml:space="preserve">Gateway role: RuPay card + UPI account linking is the single entry point to the entire digital ecosystem; DCCB should issue cards at account opening, not as an afterthought</w:t>
      </w:r>
    </w:p>
    <w:p>
      <w:pPr>
        <w:spacing w:after="80" w:before="80"/>
      </w:pPr>
      <w:r>
        <w:t xml:space="preserve"/>
      </w:r>
    </w:p>
    <w:p>
      <w:pPr>
        <w:spacing w:after="100" w:before="80" w:line="276" w:lineRule="auto"/>
        <w:jc w:val="both"/>
      </w:pPr>
      <w:r>
        <w:rPr>
          <w:rFonts w:ascii="Arial" w:cs="Arial" w:eastAsia="Arial" w:hAnsi="Arial"/>
          <w:b w:val="false"/>
          <w:bCs w:val="false"/>
          <w:i w:val="false"/>
          <w:iCs w:val="false"/>
          <w:color w:val="1A1A2E"/>
          <w:sz w:val="22"/>
          <w:szCs w:val="22"/>
        </w:rPr>
        <w:t xml:space="preserve">DCCB joins NPCI as a card issuer member or uses an existing BIN (Bank Identification Number) via a sponsor bank arrangement. C-Edge Technologies and SSPL both provide card management modules compatible with cooperative CBS. The total population of unissued cards among DCCB clients represents the largest untapped digital inclusion opportunity in the cooperative sector.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500"/>
        <w:gridCol w:w="22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CARD ISSUANCE TARGET</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MPOS DEPLOYMENT</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w:t>
            </w:r>
          </w:p>
        </w:tc>
        <w:tc>
          <w:tcPr>
            <w:tcW w:type="dxa" w:w="22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 of savings account holders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 BC + agri shops + milk co-ops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 months (full)</w:t>
            </w:r>
          </w:p>
        </w:tc>
        <w:tc>
          <w:tcPr>
            <w:tcW w:type="dxa" w:w="2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₹10–25 lakhs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60–70% of savings account holders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HQ + block-level branches + BC</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9–12 months</w:t>
            </w:r>
          </w:p>
        </w:tc>
        <w:tc>
          <w:tcPr>
            <w:tcW w:type="dxa" w:w="2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₹5–15 lakhs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40–50% of savings account holders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HQ branch only initially</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 months</w:t>
            </w:r>
          </w:p>
        </w:tc>
        <w:tc>
          <w:tcPr>
            <w:tcW w:type="dxa" w:w="2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10: </w:t>
            </w:r>
            <w:r>
              <w:rPr>
                <w:rFonts w:ascii="Arial" w:cs="Arial" w:eastAsia="Arial" w:hAnsi="Arial"/>
                <w:b/>
                <w:bCs/>
                <w:color w:val="FFFFFF"/>
                <w:sz w:val="26"/>
                <w:szCs w:val="26"/>
              </w:rPr>
              <w:t xml:space="preserve">WhatsApp Banking / IVR / AI Chatbot / Conversational Banking</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Conversational banking delivers banking services through familiar messaging and voice interfaces — WhatsApp, IVR (Interactive Voice Response), AI chatbots, and SMS — rather than requiring customers to navigate dedicated banking apps. Given that many rural DCCB clients may be comfortable using WhatsApp for family communication but intimidated by a formal banking app, conversational banking meets the customer at their existing digital behaviour rather than demanding they learn new technology. For DCCBs, this is particularly powerful in regional languages — Hindi, Marathi, Telugu, Kannada — where voice interaction removes literacy barriers.</w:t>
      </w:r>
    </w:p>
    <w:p>
      <w:pPr>
        <w:pStyle w:val="Heading3"/>
        <w:spacing w:after="80" w:before="200"/>
      </w:pPr>
      <w:r>
        <w:rPr>
          <w:rFonts w:ascii="Arial" w:cs="Arial" w:eastAsia="Arial" w:hAnsi="Arial"/>
          <w:b/>
          <w:bCs/>
          <w:color w:val="0A1628"/>
          <w:sz w:val="26"/>
          <w:szCs w:val="26"/>
        </w:rPr>
        <w:t xml:space="preserve">GBPEM Scores: PMS 4 | RAS 4 | ICI 3 | FIQ 3 | CVDS 4 | Total: 18/25</w:t>
      </w:r>
    </w:p>
    <w:p>
      <w:pPr>
        <w:pStyle w:val="ListParagraph"/>
        <w:numPr>
          <w:ilvl w:val="0"/>
          <w:numId w:val="2"/>
        </w:numPr>
        <w:spacing w:after="40" w:before="40" w:line="276" w:lineRule="auto"/>
      </w:pPr>
      <w:r>
        <w:rPr>
          <w:rFonts w:ascii="Arial" w:cs="Arial" w:eastAsia="Arial" w:hAnsi="Arial"/>
          <w:color w:val="1A1A2E"/>
          <w:sz w:val="22"/>
          <w:szCs w:val="22"/>
        </w:rPr>
        <w:t xml:space="preserve">HDFC Bank: First Indian bank to launch WhatsApp Banking (2018). Currently serves millions of queries monthly.</w:t>
      </w:r>
    </w:p>
    <w:p>
      <w:pPr>
        <w:pStyle w:val="ListParagraph"/>
        <w:numPr>
          <w:ilvl w:val="0"/>
          <w:numId w:val="2"/>
        </w:numPr>
        <w:spacing w:after="40" w:before="40" w:line="276" w:lineRule="auto"/>
      </w:pPr>
      <w:r>
        <w:rPr>
          <w:rFonts w:ascii="Arial" w:cs="Arial" w:eastAsia="Arial" w:hAnsi="Arial"/>
          <w:color w:val="1A1A2E"/>
          <w:sz w:val="22"/>
          <w:szCs w:val="22"/>
        </w:rPr>
        <w:t xml:space="preserve">SBI GenAI chatbot: Internal staff deployment for deceased claims (January 2025) and documentation (February 2025) — not yet customer-facing at rural scale.</w:t>
      </w:r>
    </w:p>
    <w:p>
      <w:pPr>
        <w:pStyle w:val="ListParagraph"/>
        <w:numPr>
          <w:ilvl w:val="0"/>
          <w:numId w:val="2"/>
        </w:numPr>
        <w:spacing w:after="40" w:before="40" w:line="276" w:lineRule="auto"/>
      </w:pPr>
      <w:r>
        <w:rPr>
          <w:rFonts w:ascii="Arial" w:cs="Arial" w:eastAsia="Arial" w:hAnsi="Arial"/>
          <w:color w:val="1A1A2E"/>
          <w:sz w:val="22"/>
          <w:szCs w:val="22"/>
        </w:rPr>
        <w:t xml:space="preserve">ICICI Bank iPal: AI chatbot handling 1,00,000+ queries daily.</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SSPL Shared WhatsApp Banking Endpoint:</w:t>
      </w:r>
    </w:p>
    <w:p>
      <w:pPr>
        <w:spacing w:after="100" w:before="80" w:line="276" w:lineRule="auto"/>
        <w:jc w:val="both"/>
      </w:pPr>
      <w:r>
        <w:rPr>
          <w:rFonts w:ascii="Arial" w:cs="Arial" w:eastAsia="Arial" w:hAnsi="Arial"/>
          <w:b w:val="false"/>
          <w:bCs w:val="false"/>
          <w:i w:val="false"/>
          <w:iCs w:val="false"/>
          <w:color w:val="1A1A2E"/>
          <w:sz w:val="22"/>
          <w:szCs w:val="22"/>
        </w:rPr>
        <w:t xml:space="preserve">The highest-value SSPL innovation in conversational banking is a single SSPL-hosted WhatsApp Business API instance serving all 352 DCCBs simultaneously. A customer messages the SSPL WhatsApp number → selects their DCCB from the menu → proceeds to bank-specific service. SSPL hosts the API, manages the NPCI and Meta certification, and provides the integration with each DCCB's CBS. Per-DCCB cost: ₹50,000–1,00,000 per year vs. ₹5–15 lakhs standalone. Services: account balance in regional language, KCC balance and next due date, nearest BC agent locator, PMFBY claim status, loan application status, utility bill payment via BBPS.</w:t>
      </w:r>
    </w:p>
    <w:p>
      <w:pPr>
        <w:pStyle w:val="Heading3"/>
        <w:spacing w:after="80" w:before="200"/>
      </w:pPr>
      <w:r>
        <w:rPr>
          <w:rFonts w:ascii="Arial" w:cs="Arial" w:eastAsia="Arial" w:hAnsi="Arial"/>
          <w:b/>
          <w:bCs/>
          <w:color w:val="0A1628"/>
          <w:sz w:val="26"/>
          <w:szCs w:val="26"/>
        </w:rPr>
        <w:t xml:space="preserve">IVR and Missed-Call Banking — The PDC-RFI Solution:</w:t>
      </w:r>
    </w:p>
    <w:p>
      <w:pPr>
        <w:spacing w:after="100" w:before="80" w:line="276" w:lineRule="auto"/>
        <w:jc w:val="both"/>
      </w:pPr>
      <w:r>
        <w:rPr>
          <w:rFonts w:ascii="Arial" w:cs="Arial" w:eastAsia="Arial" w:hAnsi="Arial"/>
          <w:b w:val="false"/>
          <w:bCs w:val="false"/>
          <w:i w:val="false"/>
          <w:iCs w:val="false"/>
          <w:color w:val="1A1A2E"/>
          <w:sz w:val="22"/>
          <w:szCs w:val="22"/>
        </w:rPr>
        <w:t xml:space="preserve">For PDC-RFIs where smartphone penetration is under 20%, the missed-call banking service is the minimum viable conversational channel. The customer dials a designated number → the call disconnects automatically (no charge) → the system calls back via IVR in regional language → announces account balance and latest transaction. Zero app, zero internet, zero data charge, zero literacy required. SSPL can deploy a shared IVR system for all cooperative banks in a state at ₹2–5 lakhs annual cost shared across all participating DCCBs.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800"/>
        <w:gridCol w:w="19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CHANNEL</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LANGUAGES</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(SSPL SHARED)</w:t>
            </w:r>
          </w:p>
        </w:tc>
        <w:tc>
          <w:tcPr>
            <w:tcW w:type="dxa" w:w="1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WhatsApp + AI Chatbot + IVR + SMS + in-app</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 regional languages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₹50K–1 lakh/year</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60–90 days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WhatsApp (SSPL shared) + IVR + SMS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 regional languages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₹30–60K/year</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30–60 days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Missed-call banking + IVR in local language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regional languages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₹10–25K/year (shared)</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15–30 days</w:t>
            </w:r>
          </w:p>
        </w:tc>
      </w:tr>
    </w:tbl>
    <w:p>
      <w:pPr>
        <w:spacing w:after="80" w:before="80"/>
      </w:pPr>
      <w:r>
        <w:t xml:space="preserve"/>
      </w:r>
    </w:p>
    <w:p>
      <w:r>
        <w:br w:type="page"/>
      </w:r>
    </w:p>
    <w:p>
      <w:pPr>
        <w:pStyle w:val="Heading2"/>
        <w:spacing w:after="120" w:before="260"/>
      </w:pPr>
      <w:r>
        <w:rPr>
          <w:rFonts w:ascii="Arial" w:cs="Arial" w:eastAsia="Arial" w:hAnsi="Arial"/>
          <w:b/>
          <w:bCs/>
          <w:color w:val="0E8A8A"/>
          <w:sz w:val="32"/>
          <w:szCs w:val="32"/>
        </w:rPr>
        <w:t xml:space="preserve">Sub-Section 3B: Internal Bank Operations Products (Products 11–20)</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11: </w:t>
            </w:r>
            <w:r>
              <w:rPr>
                <w:rFonts w:ascii="Arial" w:cs="Arial" w:eastAsia="Arial" w:hAnsi="Arial"/>
                <w:b/>
                <w:bCs/>
                <w:color w:val="FFFFFF"/>
                <w:sz w:val="26"/>
                <w:szCs w:val="26"/>
              </w:rPr>
              <w:t xml:space="preserve">Core Banking Solution (CBS) — Foundation Layer</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What is this product?</w:t>
      </w:r>
    </w:p>
    <w:p>
      <w:pPr>
        <w:spacing w:after="100" w:before="80" w:line="276" w:lineRule="auto"/>
        <w:jc w:val="both"/>
      </w:pPr>
      <w:r>
        <w:rPr>
          <w:rFonts w:ascii="Arial" w:cs="Arial" w:eastAsia="Arial" w:hAnsi="Arial"/>
          <w:b w:val="false"/>
          <w:bCs w:val="false"/>
          <w:i w:val="false"/>
          <w:iCs w:val="false"/>
          <w:color w:val="1A1A2E"/>
          <w:sz w:val="22"/>
          <w:szCs w:val="22"/>
        </w:rPr>
        <w:t xml:space="preserve">The Core Banking Solution is the centralised software platform that manages all of a bank's fundamental operations: account management, transaction processing, loan management, deposits, general ledger, and regulatory reporting. Every other digital product in this catalogue depends on the CBS as its data foundation. A CBS failure is not a technology inconvenience — it is an institutional crisis. For cooperative banks, the CBS landscape is distinct from commercial banking: cooperative-specific CBS must handle share capital management (members hold equity shares), PACS sub-accounting, seasonal loan repayment cycles, and specialised regulatory returns for NABARD and state-level cooperative registrars that commercial bank CBS platforms do not natively support.</w:t>
      </w:r>
    </w:p>
    <w:p>
      <w:pPr>
        <w:pStyle w:val="Heading3"/>
        <w:spacing w:after="80" w:before="200"/>
      </w:pPr>
      <w:r>
        <w:rPr>
          <w:rFonts w:ascii="Arial" w:cs="Arial" w:eastAsia="Arial" w:hAnsi="Arial"/>
          <w:b/>
          <w:bCs/>
          <w:color w:val="0A1628"/>
          <w:sz w:val="26"/>
          <w:szCs w:val="26"/>
        </w:rPr>
        <w:t xml:space="preserve">GBPEM Scores: PMS 5 | RAS 5 | ICI 1 | FIQ 5 | CVDS 5 | Total: 21/25 — MANDATORY</w:t>
      </w:r>
    </w:p>
    <w:p>
      <w:pPr>
        <w:spacing w:after="100" w:before="80" w:line="276" w:lineRule="auto"/>
        <w:jc w:val="both"/>
      </w:pPr>
      <w:r>
        <w:rPr>
          <w:rFonts w:ascii="Arial" w:cs="Arial" w:eastAsia="Arial" w:hAnsi="Arial"/>
          <w:b w:val="false"/>
          <w:bCs w:val="false"/>
          <w:i w:val="false"/>
          <w:iCs w:val="false"/>
          <w:color w:val="1A1A2E"/>
          <w:sz w:val="22"/>
          <w:szCs w:val="22"/>
        </w:rPr>
        <w:t xml:space="preserve">ICI score of 1 reflects genuine complexity: full CBS implementation is an 18–24 month programme for a multi-branch DCCB. However, this is non-negotiable — the CBS is not optional. The correct question is not "should we implement CBS?" but "which CBS, through which procurement pathway, with what implementation support?"</w:t>
      </w:r>
    </w:p>
    <w:p>
      <w:pPr>
        <w:pStyle w:val="Heading3"/>
        <w:spacing w:after="80" w:before="200"/>
      </w:pPr>
      <w:r>
        <w:rPr>
          <w:rFonts w:ascii="Arial" w:cs="Arial" w:eastAsia="Arial" w:hAnsi="Arial"/>
          <w:b/>
          <w:bCs/>
          <w:color w:val="0A1628"/>
          <w:sz w:val="26"/>
          <w:szCs w:val="26"/>
        </w:rPr>
        <w:t xml:space="preserve">Large Bank CBS Landscape:</w:t>
      </w:r>
    </w:p>
    <w:p>
      <w:pPr>
        <w:pStyle w:val="ListParagraph"/>
        <w:numPr>
          <w:ilvl w:val="0"/>
          <w:numId w:val="2"/>
        </w:numPr>
        <w:spacing w:after="40" w:before="40" w:line="276" w:lineRule="auto"/>
      </w:pPr>
      <w:r>
        <w:rPr>
          <w:rFonts w:ascii="Arial" w:cs="Arial" w:eastAsia="Arial" w:hAnsi="Arial"/>
          <w:color w:val="1A1A2E"/>
          <w:sz w:val="22"/>
          <w:szCs w:val="22"/>
        </w:rPr>
        <w:t xml:space="preserve">SBI: TCS BaNCS — largest CBS deployment globally: 140 million accounts, 14,600 branches. TCS was selected to customise, implement, and support. The scale and complexity of SBI's implementation is irrelevant to DCCB decision-making — it serves as a benchmark for what a fully mature CBS delivers, not what a DCCB should procure.</w:t>
      </w:r>
    </w:p>
    <w:p>
      <w:pPr>
        <w:pStyle w:val="ListParagraph"/>
        <w:numPr>
          <w:ilvl w:val="0"/>
          <w:numId w:val="2"/>
        </w:numPr>
        <w:spacing w:after="40" w:before="40" w:line="276" w:lineRule="auto"/>
      </w:pPr>
      <w:r>
        <w:rPr>
          <w:rFonts w:ascii="Arial" w:cs="Arial" w:eastAsia="Arial" w:hAnsi="Arial"/>
          <w:color w:val="1A1A2E"/>
          <w:sz w:val="22"/>
          <w:szCs w:val="22"/>
        </w:rPr>
        <w:t xml:space="preserve">HDFC Bank: Oracle FlexCube — also deployed at Axis, Yes Bank, Kotak, and several private sector banks.</w:t>
      </w:r>
    </w:p>
    <w:p>
      <w:pPr>
        <w:pStyle w:val="ListParagraph"/>
        <w:numPr>
          <w:ilvl w:val="0"/>
          <w:numId w:val="2"/>
        </w:numPr>
        <w:spacing w:after="40" w:before="40" w:line="276" w:lineRule="auto"/>
      </w:pPr>
      <w:r>
        <w:rPr>
          <w:rFonts w:ascii="Arial" w:cs="Arial" w:eastAsia="Arial" w:hAnsi="Arial"/>
          <w:color w:val="1A1A2E"/>
          <w:sz w:val="22"/>
          <w:szCs w:val="22"/>
        </w:rPr>
        <w:t xml:space="preserve">ICICI Bank, PNB, Bank of Baroda, Union Bank: Infosys Finacle — the most widely deployed CBS in Indian banking.</w:t>
      </w:r>
    </w:p>
    <w:p>
      <w:pPr>
        <w:pStyle w:val="ListParagraph"/>
        <w:numPr>
          <w:ilvl w:val="0"/>
          <w:numId w:val="2"/>
        </w:numPr>
        <w:spacing w:after="40" w:before="40" w:line="276" w:lineRule="auto"/>
      </w:pPr>
      <w:r>
        <w:rPr>
          <w:rFonts w:ascii="Arial" w:cs="Arial" w:eastAsia="Arial" w:hAnsi="Arial"/>
          <w:color w:val="1A1A2E"/>
          <w:sz w:val="22"/>
          <w:szCs w:val="22"/>
        </w:rPr>
        <w:t xml:space="preserve">C-Edge Technologies (TCS + SBI JV): Purpose-built CBS for Regional Rural Banks and cooperative banks. Currently deployed in many cooperative institutions nationwide. Carries the pedigree of TCS technology with cooperative-sector configuration. SSPL-compatible.</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11a. CASA Module</w:t>
      </w:r>
    </w:p>
    <w:p>
      <w:pPr>
        <w:spacing w:after="100" w:before="80" w:line="276" w:lineRule="auto"/>
        <w:jc w:val="both"/>
      </w:pPr>
      <w:r>
        <w:rPr>
          <w:rFonts w:ascii="Arial" w:cs="Arial" w:eastAsia="Arial" w:hAnsi="Arial"/>
          <w:b w:val="false"/>
          <w:bCs w:val="false"/>
          <w:i w:val="false"/>
          <w:iCs w:val="false"/>
          <w:color w:val="1A1A2E"/>
          <w:sz w:val="22"/>
          <w:szCs w:val="22"/>
        </w:rPr>
        <w:t xml:space="preserve">The CASA (Current Account, Savings Account) module manages all deposit accounts from opening to closure. For cooperative banks, this must include: Aadhaar eKYC integration for paperless account opening; SHG group account management with multiple signatories and group member ledger; dormancy tracking and re-activation workflow; PMJDY zero-balance account maintenance; RuPay card linkage and PIN management; UPI VPA creation and management. A well-configured CASA module eliminates paper KYC files, reduces account opening time from days to minutes, and provides real-time account status to branch managers across all branches.</w:t>
      </w:r>
    </w:p>
    <w:p>
      <w:pPr>
        <w:pStyle w:val="Heading3"/>
        <w:spacing w:after="80" w:before="200"/>
      </w:pPr>
      <w:r>
        <w:rPr>
          <w:rFonts w:ascii="Arial" w:cs="Arial" w:eastAsia="Arial" w:hAnsi="Arial"/>
          <w:b/>
          <w:bCs/>
          <w:color w:val="0A1628"/>
          <w:sz w:val="26"/>
          <w:szCs w:val="26"/>
        </w:rPr>
        <w:t xml:space="preserve">11b. Loans and Advances Module</w:t>
      </w:r>
    </w:p>
    <w:p>
      <w:pPr>
        <w:spacing w:after="100" w:before="80" w:line="276" w:lineRule="auto"/>
        <w:jc w:val="both"/>
      </w:pPr>
      <w:r>
        <w:rPr>
          <w:rFonts w:ascii="Arial" w:cs="Arial" w:eastAsia="Arial" w:hAnsi="Arial"/>
          <w:b w:val="false"/>
          <w:bCs w:val="false"/>
          <w:i w:val="false"/>
          <w:iCs w:val="false"/>
          <w:color w:val="1A1A2E"/>
          <w:sz w:val="22"/>
          <w:szCs w:val="22"/>
        </w:rPr>
        <w:t xml:space="preserve">This is the most complex and most critical CBS module for a DCCB. It must support: KCC loan origination workflow with digital appraisal; Short-Term (ST) and Medium-Term (MT) crop loan lifecycle management; gold loan management including pledge, valuation, and auction workflow; SHG group loan with individual member sub-accounts; NPA auto-classification at 90 days past due date per RBI norms; sub-limit tracking for KCC with PACS on-lending component; scheduled repayment alerts; restructuring and rescheduling workflows; and PACS-level loan disbursement and collection routing.</w:t>
      </w:r>
    </w:p>
    <w:p>
      <w:pPr>
        <w:pStyle w:val="Heading3"/>
        <w:spacing w:after="80" w:before="200"/>
      </w:pPr>
      <w:r>
        <w:rPr>
          <w:rFonts w:ascii="Arial" w:cs="Arial" w:eastAsia="Arial" w:hAnsi="Arial"/>
          <w:b/>
          <w:bCs/>
          <w:color w:val="0A1628"/>
          <w:sz w:val="26"/>
          <w:szCs w:val="26"/>
        </w:rPr>
        <w:t xml:space="preserve">11c. Deposits Module</w:t>
      </w:r>
    </w:p>
    <w:p>
      <w:pPr>
        <w:spacing w:after="100" w:before="80" w:line="276" w:lineRule="auto"/>
        <w:jc w:val="both"/>
      </w:pPr>
      <w:r>
        <w:rPr>
          <w:rFonts w:ascii="Arial" w:cs="Arial" w:eastAsia="Arial" w:hAnsi="Arial"/>
          <w:b w:val="false"/>
          <w:bCs w:val="false"/>
          <w:i w:val="false"/>
          <w:iCs w:val="false"/>
          <w:color w:val="1A1A2E"/>
          <w:sz w:val="22"/>
          <w:szCs w:val="22"/>
        </w:rPr>
        <w:t xml:space="preserve">Fixed Deposit and Recurring Deposit management; PACS member share capital management (unique to cooperative CBS — a RuPay-holding cooperative member owns equity shares in the PACS, which in turn holds shares in the DCCB; this three-level share capital structure must be tracked in the CBS); interest payout automation on scheduled dates; TDS deduction for FDs above ₹40,000 annual interest with Form 15G/15H processing; auto-renewal of matured FDs with customer notification.</w:t>
      </w:r>
    </w:p>
    <w:p>
      <w:pPr>
        <w:pStyle w:val="Heading3"/>
        <w:spacing w:after="80" w:before="200"/>
      </w:pPr>
      <w:r>
        <w:rPr>
          <w:rFonts w:ascii="Arial" w:cs="Arial" w:eastAsia="Arial" w:hAnsi="Arial"/>
          <w:b/>
          <w:bCs/>
          <w:color w:val="0A1628"/>
          <w:sz w:val="26"/>
          <w:szCs w:val="26"/>
        </w:rPr>
        <w:t xml:space="preserve">11d. Treasury / Investment Module</w:t>
      </w:r>
    </w:p>
    <w:p>
      <w:pPr>
        <w:spacing w:after="100" w:before="80" w:line="276" w:lineRule="auto"/>
        <w:jc w:val="both"/>
      </w:pPr>
      <w:r>
        <w:rPr>
          <w:rFonts w:ascii="Arial" w:cs="Arial" w:eastAsia="Arial" w:hAnsi="Arial"/>
          <w:b w:val="false"/>
          <w:bCs w:val="false"/>
          <w:i w:val="false"/>
          <w:iCs w:val="false"/>
          <w:color w:val="1A1A2E"/>
          <w:sz w:val="22"/>
          <w:szCs w:val="22"/>
        </w:rPr>
        <w:t xml:space="preserve">For DCCBs, treasury management is primarily passive: maintaining SLR-eligible government securities, NABARD bonds, and state government bonds. The CBS Investment module must: track all SLR-eligible investments with ISIN, maturity date, coupon rate, and market value; automatically compute SLR ratio against NDTL in real time; generate alerts if ratio approaches the 18% minimum; handle coupon receipt and reinvestment; support automatic marking-to-market for AFS category securities; and produce NABARD investment returns as a direct CBS extract. This module is the foundation for the Regulatory Compliance Engine (Product 13).</w:t>
      </w:r>
    </w:p>
    <w:p>
      <w:pPr>
        <w:pStyle w:val="Heading3"/>
        <w:spacing w:after="80" w:before="200"/>
      </w:pPr>
      <w:r>
        <w:rPr>
          <w:rFonts w:ascii="Arial" w:cs="Arial" w:eastAsia="Arial" w:hAnsi="Arial"/>
          <w:b/>
          <w:bCs/>
          <w:color w:val="0A1628"/>
          <w:sz w:val="26"/>
          <w:szCs w:val="26"/>
        </w:rPr>
        <w:t xml:space="preserve">11e. General Ledger and Accounting</w:t>
      </w:r>
    </w:p>
    <w:p>
      <w:pPr>
        <w:spacing w:after="100" w:before="80" w:line="276" w:lineRule="auto"/>
        <w:jc w:val="both"/>
      </w:pPr>
      <w:r>
        <w:rPr>
          <w:rFonts w:ascii="Arial" w:cs="Arial" w:eastAsia="Arial" w:hAnsi="Arial"/>
          <w:b w:val="false"/>
          <w:bCs w:val="false"/>
          <w:i w:val="false"/>
          <w:iCs w:val="false"/>
          <w:color w:val="1A1A2E"/>
          <w:sz w:val="22"/>
          <w:szCs w:val="22"/>
        </w:rPr>
        <w:t xml:space="preserve">Automated journal entries for all transactions; daily balance confirmation across all branches; Head Office consolidation of multi-branch accounts; regulatory-ready trial balance in formats required by NABARD OSS, RBI, and state cooperative registrar; integrated with ENSURE portal for direct data upload; automated year-end provisioning for NPAs; IFRS 9 ECL provisioning capability in advanced deployments.</w:t>
      </w:r>
    </w:p>
    <w:p>
      <w:pPr>
        <w:pStyle w:val="Heading3"/>
        <w:spacing w:after="80" w:before="200"/>
      </w:pPr>
      <w:r>
        <w:rPr>
          <w:rFonts w:ascii="Arial" w:cs="Arial" w:eastAsia="Arial" w:hAnsi="Arial"/>
          <w:b/>
          <w:bCs/>
          <w:color w:val="0A1628"/>
          <w:sz w:val="26"/>
          <w:szCs w:val="26"/>
        </w:rPr>
        <w:t xml:space="preserve">11f. PACS ERP Integration Module</w:t>
      </w:r>
    </w:p>
    <w:p>
      <w:pPr>
        <w:spacing w:after="100" w:before="80" w:line="276" w:lineRule="auto"/>
        <w:jc w:val="both"/>
      </w:pPr>
      <w:r>
        <w:rPr>
          <w:rFonts w:ascii="Arial" w:cs="Arial" w:eastAsia="Arial" w:hAnsi="Arial"/>
          <w:b w:val="false"/>
          <w:bCs w:val="false"/>
          <w:i w:val="false"/>
          <w:iCs w:val="false"/>
          <w:color w:val="1A1A2E"/>
          <w:sz w:val="22"/>
          <w:szCs w:val="22"/>
        </w:rPr>
        <w:t xml:space="preserve">This is the most strategically important CBS module for cooperative banking transformation. It creates the digital data channel between PACS and DCCB CBS — enabling loan applications, member KYC, repayment data, and deposit transactions from PACS to flow into the DCCB CBS in real time rather than arriving as paper documents or Excel files. The PACS ERP (being deployed nationally under NABARD's 63,000 PACS computerisation programme) generates standardised XML/JSON data feeds that the DCCB CBS must be configured to receive, validate, and post.</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CBS Procurement Cost Comparison:</w:t>
      </w:r>
    </w:p>
    <w:tbl>
      <w:tblPr>
        <w:tblW w:type="dxa" w:w="8954"/>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400"/>
        <w:gridCol w:w="1400"/>
        <w:gridCol w:w="2054"/>
      </w:tblGrid>
      <w:tr>
        <w:trPr>
          <w:tblHeader/>
        </w:trPr>
        <w:tc>
          <w:tcPr>
            <w:tcW w:type="dxa" w:w="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OPTION</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VENDOR / PLATFORM</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SCOPE</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ONE-TIME COST (₹)</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ANNUAL MAINTENANCE (₹)</w:t>
            </w:r>
          </w:p>
        </w:tc>
        <w:tc>
          <w:tcPr>
            <w:tcW w:type="dxa" w:w="20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BEST FOR</w:t>
            </w:r>
          </w:p>
        </w:tc>
      </w:tr>
      <w:tr>
        <w:tc>
          <w:tcPr>
            <w:tcW w:type="dxa" w:w="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TCS BaNCS / Finacle cooperative edition</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Full-scale, large cooperative bank</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crore+</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₹30–50 lakhs</w:t>
            </w:r>
          </w:p>
        </w:tc>
        <w:tc>
          <w:tcPr>
            <w:tcW w:type="dxa" w:w="2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Large DCCBs with &gt;₹2,000 crore balance sheet</w:t>
            </w:r>
          </w:p>
        </w:tc>
      </w:tr>
      <w:tr>
        <w:tc>
          <w:tcPr>
            <w:tcW w:type="dxa" w:w="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cooperative CBS (TCS+SBI JV)</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Purpose-built RRB/cooperative</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₹50–150 lakhs</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₹8–20 lakhs</w:t>
            </w:r>
          </w:p>
        </w:tc>
        <w:tc>
          <w:tcPr>
            <w:tcW w:type="dxa" w:w="2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Mid-size DM-RFI and PD-RFI DCCBs</w:t>
            </w:r>
          </w:p>
        </w:tc>
      </w:tr>
      <w:tr>
        <w:tc>
          <w:tcPr>
            <w:tcW w:type="dxa" w:w="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TrustBankCBS / Virmati / RB Tech</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Affordable cooperative-specific</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₹15–50 lakhs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₹3–8 lakhs</w:t>
            </w:r>
          </w:p>
        </w:tc>
        <w:tc>
          <w:tcPr>
            <w:tcW w:type="dxa" w:w="2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PD-RFI and most PDC-RFI DCCBs</w:t>
            </w:r>
          </w:p>
        </w:tc>
      </w:tr>
      <w:tr>
        <w:tc>
          <w:tcPr>
            <w:tcW w:type="dxa" w:w="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hosted CBS SaaS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Shared infrastructure model</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 lakhs setup</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₹5–10 lakhs/year</w:t>
            </w:r>
          </w:p>
        </w:tc>
        <w:tc>
          <w:tcPr>
            <w:tcW w:type="dxa" w:w="2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PDC-RFI and cost-constrained DCCBs</w:t>
            </w:r>
          </w:p>
        </w:tc>
      </w:tr>
      <w:tr>
        <w:tc>
          <w:tcPr>
            <w:tcW w:type="dxa" w:w="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Custodian/LISTSPL or Autobank</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Regional, legacy cooperative-sector</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₹10–30 lakhs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w:t>
            </w:r>
          </w:p>
        </w:tc>
        <w:tc>
          <w:tcPr>
            <w:tcW w:type="dxa" w:w="2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States with existing cooperative CBS deployments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12: </w:t>
            </w:r>
            <w:r>
              <w:rPr>
                <w:rFonts w:ascii="Arial" w:cs="Arial" w:eastAsia="Arial" w:hAnsi="Arial"/>
                <w:b/>
                <w:bCs/>
                <w:color w:val="FFFFFF"/>
                <w:sz w:val="26"/>
                <w:szCs w:val="26"/>
              </w:rPr>
              <w:t xml:space="preserve">Management Information System (MIS) / Analytics Dashboard</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5 | RAS 4 | ICI 3 | FIQ 4 | CVDS 3 | Total: 19/25</w:t>
      </w:r>
    </w:p>
    <w:p>
      <w:pPr>
        <w:spacing w:after="100" w:before="80" w:line="276" w:lineRule="auto"/>
        <w:jc w:val="both"/>
      </w:pPr>
      <w:r>
        <w:rPr>
          <w:rFonts w:ascii="Arial" w:cs="Arial" w:eastAsia="Arial" w:hAnsi="Arial"/>
          <w:b w:val="false"/>
          <w:bCs w:val="false"/>
          <w:i w:val="false"/>
          <w:iCs w:val="false"/>
          <w:color w:val="1A1A2E"/>
          <w:sz w:val="22"/>
          <w:szCs w:val="22"/>
        </w:rPr>
        <w:t xml:space="preserve">The MIS / Analytics Dashboard transforms raw CBS data into actionable management intelligence — converting the daily CBS close output into dashboards that allow branch managers, regional supervisors, and the DCCB CEO to monitor portfolio health, collection efficiency, NPA ratios, deposit growth, and digital adoption metrics in near real time. Without an MIS layer, management decisions are made on 1–3 day-old manually compiled reports with high error probability.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400"/>
        <w:gridCol w:w="1200"/>
        <w:gridCol w:w="1354"/>
      </w:tblGrid>
      <w:tr>
        <w:trPr>
          <w:tblHeader/>
        </w:trPr>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TIER</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TECHNOLOGY</w:t>
            </w:r>
          </w:p>
        </w:tc>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CONTENT</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(₹/YEAR)</w:t>
            </w:r>
          </w:p>
        </w:tc>
        <w:tc>
          <w:tcPr>
            <w:tcW w:type="dxa" w:w="1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DEPLOY TIME</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Tier 1 (Basic)</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Google Sheets / Excel + CSV extract from CBS</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Daily portfolio, NPA list, collection efficiency, branch deposits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Nil–₹50K</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30–60 days</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Tier 2 (Operational)</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Power BI / Tableau connected to CBS database</w:t>
            </w:r>
          </w:p>
        </w:tc>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Real-time feeds; custom branch/CEO dashboards; NABARD inspection reports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₹2–8 lakhs</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60–120 days</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Tier 3 (Advanced AI)</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BI + AI analytics; geographic heat maps</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heat map by block; NDVI-linked portfolio stress; predictive collection scoring</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₹5–15 lakhs (SSPL)</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120–180 days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13: </w:t>
            </w:r>
            <w:r>
              <w:rPr>
                <w:rFonts w:ascii="Arial" w:cs="Arial" w:eastAsia="Arial" w:hAnsi="Arial"/>
                <w:b/>
                <w:bCs/>
                <w:color w:val="FFFFFF"/>
                <w:sz w:val="26"/>
                <w:szCs w:val="26"/>
              </w:rPr>
              <w:t xml:space="preserve">Regulatory Compliance and Reporting Engine</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4 | RAS 5 | ICI 3 | FIQ 5 | CVDS 4 | Total: 21/25 — HIGHEST ROI</w:t>
      </w:r>
    </w:p>
    <w:p>
      <w:pPr>
        <w:spacing w:after="100" w:before="80" w:line="276" w:lineRule="auto"/>
        <w:jc w:val="both"/>
      </w:pPr>
      <w:r>
        <w:rPr>
          <w:rFonts w:ascii="Arial" w:cs="Arial" w:eastAsia="Arial" w:hAnsi="Arial"/>
          <w:b w:val="false"/>
          <w:bCs w:val="false"/>
          <w:i w:val="false"/>
          <w:iCs w:val="false"/>
          <w:color w:val="1A1A2E"/>
          <w:sz w:val="22"/>
          <w:szCs w:val="22"/>
        </w:rPr>
        <w:t xml:space="preserve">The Regulatory Compliance Engine is the highest-ROI internal product for most DCCBs. Current manual compliance requires 780+ person-hours per NABARD OSS cycle, 63 days of preparation, and is prone to data inconsistency errors that create regulatory risk. A compliance engine that pipes CBS data directly into computation models — eliminating manual data extraction, re-entry, and formula construction — delivers immediate and quantifiable savings.</w:t>
      </w:r>
    </w:p>
    <w:p>
      <w:pPr>
        <w:pStyle w:val="Heading3"/>
        <w:spacing w:after="80" w:before="200"/>
      </w:pPr>
      <w:r>
        <w:rPr>
          <w:rFonts w:ascii="Arial" w:cs="Arial" w:eastAsia="Arial" w:hAnsi="Arial"/>
          <w:b/>
          <w:bCs/>
          <w:color w:val="0A1628"/>
          <w:sz w:val="26"/>
          <w:szCs w:val="26"/>
        </w:rPr>
        <w:t xml:space="preserve">CRAR Computation — Deep Dive:</w:t>
      </w:r>
    </w:p>
    <w:p>
      <w:pPr>
        <w:spacing w:after="100" w:before="80" w:line="276" w:lineRule="auto"/>
        <w:jc w:val="both"/>
      </w:pPr>
      <w:r>
        <w:rPr>
          <w:rFonts w:ascii="Arial" w:cs="Arial" w:eastAsia="Arial" w:hAnsi="Arial"/>
          <w:b w:val="false"/>
          <w:bCs w:val="false"/>
          <w:i w:val="false"/>
          <w:iCs w:val="false"/>
          <w:color w:val="1A1A2E"/>
          <w:sz w:val="22"/>
          <w:szCs w:val="22"/>
        </w:rPr>
        <w:t xml:space="preserve">Capital to Risk-weighted Assets Ratio = (Tier 1 Capital + Tier 2 Capital) / Risk-Weighted Assets × 100. Required minimum: 9% for cooperative banks (RBI mandate). Tier 1 capital includes paid-up share capital, free reserves, and retained earnings. Tier 2 capital includes subordinated debt, revaluation reserves, and general provisions. Risk-weighted assets require classification of every asset: Government Securities carry 0% risk weight; AAA-rated corporate bonds 20%; secured retail loans 75%; unsecured loans 100%; NPAs 150%. Currently, RWA computation requires manually classifying thousands of loan accounts — a 40-person-hour exercise with high error risk. An automated compliance engine retrieves this data directly from the CBS loans and investments modules and computes CRAR in minutes.</w:t>
      </w:r>
    </w:p>
    <w:p>
      <w:pPr>
        <w:pStyle w:val="Heading3"/>
        <w:spacing w:after="80" w:before="200"/>
      </w:pPr>
      <w:r>
        <w:rPr>
          <w:rFonts w:ascii="Arial" w:cs="Arial" w:eastAsia="Arial" w:hAnsi="Arial"/>
          <w:b/>
          <w:bCs/>
          <w:color w:val="0A1628"/>
          <w:sz w:val="26"/>
          <w:szCs w:val="26"/>
        </w:rPr>
        <w:t xml:space="preserve">SLR Computation:</w:t>
      </w:r>
    </w:p>
    <w:p>
      <w:pPr>
        <w:spacing w:after="100" w:before="80" w:line="276" w:lineRule="auto"/>
        <w:jc w:val="both"/>
      </w:pPr>
      <w:r>
        <w:rPr>
          <w:rFonts w:ascii="Arial" w:cs="Arial" w:eastAsia="Arial" w:hAnsi="Arial"/>
          <w:b w:val="false"/>
          <w:bCs w:val="false"/>
          <w:i w:val="false"/>
          <w:iCs w:val="false"/>
          <w:color w:val="1A1A2E"/>
          <w:sz w:val="22"/>
          <w:szCs w:val="22"/>
        </w:rPr>
        <w:t xml:space="preserve">Statutory Liquidity Ratio = SLR-eligible securities held / Net Demand and Time Liabilities × 100. Required minimum: 18.00% of NDTL (as of 2024), computed fortnightly. The CBS investment module tracks SLR-eligible securities; NDTL is computed from the CASA module. Automation: CBS investment module → SLR computation engine → real-time ratio display → breach alert at 18.50% threshold (warning before the 18.00% minimum is breached).</w:t>
      </w:r>
    </w:p>
    <w:p>
      <w:pPr>
        <w:pStyle w:val="Heading3"/>
        <w:spacing w:after="80" w:before="200"/>
      </w:pPr>
      <w:r>
        <w:rPr>
          <w:rFonts w:ascii="Arial" w:cs="Arial" w:eastAsia="Arial" w:hAnsi="Arial"/>
          <w:b/>
          <w:bCs/>
          <w:color w:val="0A1628"/>
          <w:sz w:val="26"/>
          <w:szCs w:val="26"/>
        </w:rPr>
        <w:t xml:space="preserve">NABARD OSS Returns — Complete List:</w:t>
      </w:r>
    </w:p>
    <w:p>
      <w:pPr>
        <w:pStyle w:val="ListParagraph"/>
        <w:numPr>
          <w:ilvl w:val="0"/>
          <w:numId w:val="2"/>
        </w:numPr>
        <w:spacing w:after="40" w:before="40" w:line="276" w:lineRule="auto"/>
      </w:pPr>
      <w:r>
        <w:rPr>
          <w:rFonts w:ascii="Arial" w:cs="Arial" w:eastAsia="Arial" w:hAnsi="Arial"/>
          <w:color w:val="1A1A2E"/>
          <w:sz w:val="22"/>
          <w:szCs w:val="22"/>
        </w:rPr>
        <w:t xml:space="preserve">NBS-1 to NBS-9: Balance sheet, income/expenditure, advances, investments, and subsidiary returns — filed quarterly</w:t>
      </w:r>
    </w:p>
    <w:p>
      <w:pPr>
        <w:pStyle w:val="ListParagraph"/>
        <w:numPr>
          <w:ilvl w:val="0"/>
          <w:numId w:val="2"/>
        </w:numPr>
        <w:spacing w:after="40" w:before="40" w:line="276" w:lineRule="auto"/>
      </w:pPr>
      <w:r>
        <w:rPr>
          <w:rFonts w:ascii="Arial" w:cs="Arial" w:eastAsia="Arial" w:hAnsi="Arial"/>
          <w:color w:val="1A1A2E"/>
          <w:sz w:val="22"/>
          <w:szCs w:val="22"/>
        </w:rPr>
        <w:t xml:space="preserve">NBS-ALM: Asset Liability Management statement — filed half-yearly</w:t>
      </w:r>
    </w:p>
    <w:p>
      <w:pPr>
        <w:pStyle w:val="ListParagraph"/>
        <w:numPr>
          <w:ilvl w:val="0"/>
          <w:numId w:val="2"/>
        </w:numPr>
        <w:spacing w:after="40" w:before="40" w:line="276" w:lineRule="auto"/>
      </w:pPr>
      <w:r>
        <w:rPr>
          <w:rFonts w:ascii="Arial" w:cs="Arial" w:eastAsia="Arial" w:hAnsi="Arial"/>
          <w:color w:val="1A1A2E"/>
          <w:sz w:val="22"/>
          <w:szCs w:val="22"/>
        </w:rPr>
        <w:t xml:space="preserve">Recovery performance returns: Loan recovery by category (KCC, agri, non-agri) — filed quarterly</w:t>
      </w:r>
    </w:p>
    <w:p>
      <w:pPr>
        <w:pStyle w:val="ListParagraph"/>
        <w:numPr>
          <w:ilvl w:val="0"/>
          <w:numId w:val="2"/>
        </w:numPr>
        <w:spacing w:after="40" w:before="40" w:line="276" w:lineRule="auto"/>
      </w:pPr>
      <w:r>
        <w:rPr>
          <w:rFonts w:ascii="Arial" w:cs="Arial" w:eastAsia="Arial" w:hAnsi="Arial"/>
          <w:color w:val="1A1A2E"/>
          <w:sz w:val="22"/>
          <w:szCs w:val="22"/>
        </w:rPr>
        <w:t xml:space="preserve">Kisan Credit Card utilisation return: KCC disbursement, outstanding, and recovery — filed quarterly</w:t>
      </w:r>
    </w:p>
    <w:p>
      <w:pPr>
        <w:pStyle w:val="ListParagraph"/>
        <w:numPr>
          <w:ilvl w:val="0"/>
          <w:numId w:val="2"/>
        </w:numPr>
        <w:spacing w:after="40" w:before="40" w:line="276" w:lineRule="auto"/>
      </w:pPr>
      <w:r>
        <w:rPr>
          <w:rFonts w:ascii="Arial" w:cs="Arial" w:eastAsia="Arial" w:hAnsi="Arial"/>
          <w:color w:val="1A1A2E"/>
          <w:sz w:val="22"/>
          <w:szCs w:val="22"/>
        </w:rPr>
        <w:t xml:space="preserve">SHG linkage return: Number of SHG accounts, outstanding loan, and NPA — filed half-yearly</w:t>
      </w:r>
    </w:p>
    <w:p>
      <w:pPr>
        <w:pStyle w:val="ListParagraph"/>
        <w:numPr>
          <w:ilvl w:val="0"/>
          <w:numId w:val="2"/>
        </w:numPr>
        <w:spacing w:after="40" w:before="40" w:line="276" w:lineRule="auto"/>
      </w:pPr>
      <w:r>
        <w:rPr>
          <w:rFonts w:ascii="Arial" w:cs="Arial" w:eastAsia="Arial" w:hAnsi="Arial"/>
          <w:color w:val="1A1A2E"/>
          <w:sz w:val="22"/>
          <w:szCs w:val="22"/>
        </w:rPr>
        <w:t xml:space="preserve">FIBAC returns: Financial benchmarking data — filed annually</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Quantified Time Savings by Automation Phase:</w:t>
      </w:r>
    </w:p>
    <w:tbl>
      <w:tblPr>
        <w:tblW w:type="dxa" w:w="8854"/>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9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REGULATORY PROCESS</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MANUAL HOURS</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PHASE 1 (PDC-RFI)</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PHASE 2 (PD-RFI)</w:t>
            </w:r>
          </w:p>
        </w:tc>
        <w:tc>
          <w:tcPr>
            <w:tcW w:type="dxa" w:w="1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PHASE 3 (DM-RFI)</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CRAR computation</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 hrs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 hrs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SLR computation</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 hr</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Real-time</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CRR computation</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0.5 hrs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NABARD NBS returns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200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100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 hrs</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 hrs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KCC utilisation return</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 hrs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 hrs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Recovery performance returns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120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 hrs</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 hrs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SHG linkage returns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hrs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 hrs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ALM statement</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80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40 hrs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 hrs</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 hrs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Total per cycle</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780+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~390 hrs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~180 hrs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 hrs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Cycle duration (days)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63 days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45 days</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 days</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days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Error rate in submissions</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12–18%</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8–10%</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14: </w:t>
            </w:r>
            <w:r>
              <w:rPr>
                <w:rFonts w:ascii="Arial" w:cs="Arial" w:eastAsia="Arial" w:hAnsi="Arial"/>
                <w:b/>
                <w:bCs/>
                <w:color w:val="FFFFFF"/>
                <w:sz w:val="26"/>
                <w:szCs w:val="26"/>
              </w:rPr>
              <w:t xml:space="preserve">NPA Early Warning System (EWS) and Credit Risk Monitoring</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4 | RAS 4 | ICI 3 | FIQ 5 | CVDS 4 | Total: 20/25</w:t>
      </w:r>
    </w:p>
    <w:p>
      <w:pPr>
        <w:pStyle w:val="Heading3"/>
        <w:spacing w:after="80" w:before="200"/>
      </w:pPr>
      <w:r>
        <w:rPr>
          <w:rFonts w:ascii="Arial" w:cs="Arial" w:eastAsia="Arial" w:hAnsi="Arial"/>
          <w:b/>
          <w:bCs/>
          <w:color w:val="0A1628"/>
          <w:sz w:val="26"/>
          <w:szCs w:val="26"/>
        </w:rPr>
        <w:t xml:space="preserve">Technical Foundation — PD vs. ECL:</w:t>
      </w:r>
    </w:p>
    <w:p>
      <w:pPr>
        <w:spacing w:after="100" w:before="80" w:line="276" w:lineRule="auto"/>
        <w:jc w:val="both"/>
      </w:pPr>
      <w:r>
        <w:rPr>
          <w:rFonts w:ascii="Arial" w:cs="Arial" w:eastAsia="Arial" w:hAnsi="Arial"/>
          <w:b w:val="false"/>
          <w:bCs w:val="false"/>
          <w:i w:val="false"/>
          <w:iCs w:val="false"/>
          <w:color w:val="1A1A2E"/>
          <w:sz w:val="22"/>
          <w:szCs w:val="22"/>
        </w:rPr>
        <w:t xml:space="preserve">The NPA EWS is built on Probability of Default (PD) modelling. For DCCB portfolios, the framework uses Marginal PD — the probability of default in a specific period given survival to that period's start. This is the correct metric for IFRS 9 Expected Credit Loss (ECL) computation. Conditional PD (probability of default given survival) is deliberately avoided because it includes a denominator survival effect that typically overestimates risk by 10–15% — leading to unnecessary capital provisioning. ECL = PD × LGD × EAD, where LGD (Loss Given Default) for secured agri loans typically falls at 40–60% of outstanding balance, and EAD (Exposure at Default) is the outstanding balance at time of potential default.</w:t>
      </w:r>
    </w:p>
    <w:p>
      <w:pPr>
        <w:pStyle w:val="Heading3"/>
        <w:spacing w:after="80" w:before="200"/>
      </w:pPr>
      <w:r>
        <w:rPr>
          <w:rFonts w:ascii="Arial" w:cs="Arial" w:eastAsia="Arial" w:hAnsi="Arial"/>
          <w:b/>
          <w:bCs/>
          <w:color w:val="0A1628"/>
          <w:sz w:val="26"/>
          <w:szCs w:val="26"/>
        </w:rPr>
        <w:t xml:space="preserve">EWS Alert Categories:</w:t>
      </w:r>
    </w:p>
    <w:p>
      <w:pPr>
        <w:pStyle w:val="Heading4"/>
        <w:spacing w:after="60" w:before="160"/>
      </w:pPr>
      <w:r>
        <w:rPr>
          <w:rFonts w:ascii="Arial" w:cs="Arial" w:eastAsia="Arial" w:hAnsi="Arial"/>
          <w:b/>
          <w:bCs/>
          <w:i/>
          <w:iCs/>
          <w:color w:val="0E8A8A"/>
          <w:sz w:val="24"/>
          <w:szCs w:val="24"/>
        </w:rPr>
        <w:t xml:space="preserve">Green — No Action Required:</w:t>
      </w:r>
    </w:p>
    <w:p>
      <w:pPr>
        <w:pStyle w:val="ListParagraph"/>
        <w:numPr>
          <w:ilvl w:val="0"/>
          <w:numId w:val="2"/>
        </w:numPr>
        <w:spacing w:after="40" w:before="40" w:line="276" w:lineRule="auto"/>
      </w:pPr>
      <w:r>
        <w:rPr>
          <w:rFonts w:ascii="Arial" w:cs="Arial" w:eastAsia="Arial" w:hAnsi="Arial"/>
          <w:color w:val="1A1A2E"/>
          <w:sz w:val="22"/>
          <w:szCs w:val="22"/>
        </w:rPr>
        <w:t xml:space="preserve">All scheduled repayments on time (0 DPD — Days Past Due)</w:t>
      </w:r>
    </w:p>
    <w:p>
      <w:pPr>
        <w:pStyle w:val="ListParagraph"/>
        <w:numPr>
          <w:ilvl w:val="0"/>
          <w:numId w:val="2"/>
        </w:numPr>
        <w:spacing w:after="40" w:before="40" w:line="276" w:lineRule="auto"/>
      </w:pPr>
      <w:r>
        <w:rPr>
          <w:rFonts w:ascii="Arial" w:cs="Arial" w:eastAsia="Arial" w:hAnsi="Arial"/>
          <w:color w:val="1A1A2E"/>
          <w:sz w:val="22"/>
          <w:szCs w:val="22"/>
        </w:rPr>
        <w:t xml:space="preserve">KCC account utilisation within normal seasonal range for the crop cycle</w:t>
      </w:r>
    </w:p>
    <w:p>
      <w:pPr>
        <w:pStyle w:val="ListParagraph"/>
        <w:numPr>
          <w:ilvl w:val="0"/>
          <w:numId w:val="2"/>
        </w:numPr>
        <w:spacing w:after="40" w:before="40" w:line="276" w:lineRule="auto"/>
      </w:pPr>
      <w:r>
        <w:rPr>
          <w:rFonts w:ascii="Arial" w:cs="Arial" w:eastAsia="Arial" w:hAnsi="Arial"/>
          <w:color w:val="1A1A2E"/>
          <w:sz w:val="22"/>
          <w:szCs w:val="22"/>
        </w:rPr>
        <w:t xml:space="preserve">NDVI (satellite vegetation index) within seasonal average for farmer's crop zone</w:t>
      </w:r>
    </w:p>
    <w:p>
      <w:pPr>
        <w:pStyle w:val="ListParagraph"/>
        <w:numPr>
          <w:ilvl w:val="0"/>
          <w:numId w:val="2"/>
        </w:numPr>
        <w:spacing w:after="40" w:before="40" w:line="276" w:lineRule="auto"/>
      </w:pPr>
      <w:r>
        <w:rPr>
          <w:rFonts w:ascii="Arial" w:cs="Arial" w:eastAsia="Arial" w:hAnsi="Arial"/>
          <w:color w:val="1A1A2E"/>
          <w:sz w:val="22"/>
          <w:szCs w:val="22"/>
        </w:rPr>
        <w:t xml:space="preserve">NACH mandate payments clearing normally — no bounces</w:t>
      </w:r>
    </w:p>
    <w:p>
      <w:pPr>
        <w:pStyle w:val="ListParagraph"/>
        <w:numPr>
          <w:ilvl w:val="0"/>
          <w:numId w:val="2"/>
        </w:numPr>
        <w:spacing w:after="40" w:before="40" w:line="276" w:lineRule="auto"/>
      </w:pPr>
      <w:r>
        <w:rPr>
          <w:rFonts w:ascii="Arial" w:cs="Arial" w:eastAsia="Arial" w:hAnsi="Arial"/>
          <w:color w:val="1A1A2E"/>
          <w:sz w:val="22"/>
          <w:szCs w:val="22"/>
        </w:rPr>
        <w:t xml:space="preserve">No insurance claim lodged in the borrower's agricultural zone</w:t>
      </w:r>
    </w:p>
    <w:p>
      <w:pPr>
        <w:spacing w:after="80" w:before="80"/>
      </w:pPr>
      <w:r>
        <w:t xml:space="preserve"/>
      </w:r>
    </w:p>
    <w:p>
      <w:pPr>
        <w:pStyle w:val="Heading4"/>
        <w:spacing w:after="60" w:before="160"/>
      </w:pPr>
      <w:r>
        <w:rPr>
          <w:rFonts w:ascii="Arial" w:cs="Arial" w:eastAsia="Arial" w:hAnsi="Arial"/>
          <w:b/>
          <w:bCs/>
          <w:i/>
          <w:iCs/>
          <w:color w:val="0E8A8A"/>
          <w:sz w:val="24"/>
          <w:szCs w:val="24"/>
        </w:rPr>
        <w:t xml:space="preserve">Orange — Pre-NPA Alert: Intervene Within 14 Days:</w:t>
      </w:r>
    </w:p>
    <w:p>
      <w:pPr>
        <w:pStyle w:val="ListParagraph"/>
        <w:numPr>
          <w:ilvl w:val="0"/>
          <w:numId w:val="2"/>
        </w:numPr>
        <w:spacing w:after="40" w:before="40" w:line="276" w:lineRule="auto"/>
      </w:pPr>
      <w:r>
        <w:rPr>
          <w:rFonts w:ascii="Arial" w:cs="Arial" w:eastAsia="Arial" w:hAnsi="Arial"/>
          <w:color w:val="1A1A2E"/>
          <w:sz w:val="22"/>
          <w:szCs w:val="22"/>
        </w:rPr>
        <w:t xml:space="preserve">Repayment delayed 5–30 days past scheduled date (1–30 DPD)</w:t>
      </w:r>
    </w:p>
    <w:p>
      <w:pPr>
        <w:pStyle w:val="ListParagraph"/>
        <w:numPr>
          <w:ilvl w:val="0"/>
          <w:numId w:val="2"/>
        </w:numPr>
        <w:spacing w:after="40" w:before="40" w:line="276" w:lineRule="auto"/>
      </w:pPr>
      <w:r>
        <w:rPr>
          <w:rFonts w:ascii="Arial" w:cs="Arial" w:eastAsia="Arial" w:hAnsi="Arial"/>
          <w:color w:val="1A1A2E"/>
          <w:sz w:val="22"/>
          <w:szCs w:val="22"/>
        </w:rPr>
        <w:t xml:space="preserve">KCC account utilisation dropped more than 20% from previous month — possible liquidity stress</w:t>
      </w:r>
    </w:p>
    <w:p>
      <w:pPr>
        <w:pStyle w:val="ListParagraph"/>
        <w:numPr>
          <w:ilvl w:val="0"/>
          <w:numId w:val="2"/>
        </w:numPr>
        <w:spacing w:after="40" w:before="40" w:line="276" w:lineRule="auto"/>
      </w:pPr>
      <w:r>
        <w:rPr>
          <w:rFonts w:ascii="Arial" w:cs="Arial" w:eastAsia="Arial" w:hAnsi="Arial"/>
          <w:color w:val="1A1A2E"/>
          <w:sz w:val="22"/>
          <w:szCs w:val="22"/>
        </w:rPr>
        <w:t xml:space="preserve">NDVI reading 15%+ below seasonal average in farmer's crop zone — possible crop distress</w:t>
      </w:r>
    </w:p>
    <w:p>
      <w:pPr>
        <w:pStyle w:val="ListParagraph"/>
        <w:numPr>
          <w:ilvl w:val="0"/>
          <w:numId w:val="2"/>
        </w:numPr>
        <w:spacing w:after="40" w:before="40" w:line="276" w:lineRule="auto"/>
      </w:pPr>
      <w:r>
        <w:rPr>
          <w:rFonts w:ascii="Arial" w:cs="Arial" w:eastAsia="Arial" w:hAnsi="Arial"/>
          <w:color w:val="1A1A2E"/>
          <w:sz w:val="22"/>
          <w:szCs w:val="22"/>
        </w:rPr>
        <w:t xml:space="preserve">NACH mandate bounced once — possible funds shortage in savings account</w:t>
      </w:r>
    </w:p>
    <w:p>
      <w:pPr>
        <w:pStyle w:val="ListParagraph"/>
        <w:numPr>
          <w:ilvl w:val="0"/>
          <w:numId w:val="2"/>
        </w:numPr>
        <w:spacing w:after="40" w:before="40" w:line="276" w:lineRule="auto"/>
      </w:pPr>
      <w:r>
        <w:rPr>
          <w:rFonts w:ascii="Arial" w:cs="Arial" w:eastAsia="Arial" w:hAnsi="Arial"/>
          <w:color w:val="1A1A2E"/>
          <w:sz w:val="22"/>
          <w:szCs w:val="22"/>
        </w:rPr>
        <w:t xml:space="preserve">Field officer has not made contact with borrower in 30+ days</w:t>
      </w:r>
    </w:p>
    <w:p>
      <w:pPr>
        <w:spacing w:after="80" w:before="80"/>
      </w:pPr>
      <w:r>
        <w:t xml:space="preserve"/>
      </w:r>
    </w:p>
    <w:p>
      <w:pPr>
        <w:pStyle w:val="Heading4"/>
        <w:spacing w:after="60" w:before="160"/>
      </w:pPr>
      <w:r>
        <w:rPr>
          <w:rFonts w:ascii="Arial" w:cs="Arial" w:eastAsia="Arial" w:hAnsi="Arial"/>
          <w:b/>
          <w:bCs/>
          <w:i/>
          <w:iCs/>
          <w:color w:val="0E8A8A"/>
          <w:sz w:val="24"/>
          <w:szCs w:val="24"/>
        </w:rPr>
        <w:t xml:space="preserve">Red — High Risk: Immediate Escalation:</w:t>
      </w:r>
    </w:p>
    <w:p>
      <w:pPr>
        <w:pStyle w:val="ListParagraph"/>
        <w:numPr>
          <w:ilvl w:val="0"/>
          <w:numId w:val="2"/>
        </w:numPr>
        <w:spacing w:after="40" w:before="40" w:line="276" w:lineRule="auto"/>
      </w:pPr>
      <w:r>
        <w:rPr>
          <w:rFonts w:ascii="Arial" w:cs="Arial" w:eastAsia="Arial" w:hAnsi="Arial"/>
          <w:color w:val="1A1A2E"/>
          <w:sz w:val="22"/>
          <w:szCs w:val="22"/>
        </w:rPr>
        <w:t xml:space="preserve">Repayment delayed 30+ days past scheduled date (30+ DPD — approaching NPA threshold of 90 DPD)</w:t>
      </w:r>
    </w:p>
    <w:p>
      <w:pPr>
        <w:pStyle w:val="ListParagraph"/>
        <w:numPr>
          <w:ilvl w:val="0"/>
          <w:numId w:val="2"/>
        </w:numPr>
        <w:spacing w:after="40" w:before="40" w:line="276" w:lineRule="auto"/>
      </w:pPr>
      <w:r>
        <w:rPr>
          <w:rFonts w:ascii="Arial" w:cs="Arial" w:eastAsia="Arial" w:hAnsi="Arial"/>
          <w:color w:val="1A1A2E"/>
          <w:sz w:val="22"/>
          <w:szCs w:val="22"/>
        </w:rPr>
        <w:t xml:space="preserve">KCC account dormant (zero utilisation for 60+ days in active crop season)</w:t>
      </w:r>
    </w:p>
    <w:p>
      <w:pPr>
        <w:pStyle w:val="ListParagraph"/>
        <w:numPr>
          <w:ilvl w:val="0"/>
          <w:numId w:val="2"/>
        </w:numPr>
        <w:spacing w:after="40" w:before="40" w:line="276" w:lineRule="auto"/>
      </w:pPr>
      <w:r>
        <w:rPr>
          <w:rFonts w:ascii="Arial" w:cs="Arial" w:eastAsia="Arial" w:hAnsi="Arial"/>
          <w:color w:val="1A1A2E"/>
          <w:sz w:val="22"/>
          <w:szCs w:val="22"/>
        </w:rPr>
        <w:t xml:space="preserve">NDVI confirming crop failure in borrower's zone (below 30% of seasonal average)</w:t>
      </w:r>
    </w:p>
    <w:p>
      <w:pPr>
        <w:pStyle w:val="ListParagraph"/>
        <w:numPr>
          <w:ilvl w:val="0"/>
          <w:numId w:val="2"/>
        </w:numPr>
        <w:spacing w:after="40" w:before="40" w:line="276" w:lineRule="auto"/>
      </w:pPr>
      <w:r>
        <w:rPr>
          <w:rFonts w:ascii="Arial" w:cs="Arial" w:eastAsia="Arial" w:hAnsi="Arial"/>
          <w:color w:val="1A1A2E"/>
          <w:sz w:val="22"/>
          <w:szCs w:val="22"/>
        </w:rPr>
        <w:t xml:space="preserve">NACH mandate bounced consecutively for two or more months</w:t>
      </w:r>
    </w:p>
    <w:p>
      <w:pPr>
        <w:pStyle w:val="ListParagraph"/>
        <w:numPr>
          <w:ilvl w:val="0"/>
          <w:numId w:val="2"/>
        </w:numPr>
        <w:spacing w:after="40" w:before="40" w:line="276" w:lineRule="auto"/>
      </w:pPr>
      <w:r>
        <w:rPr>
          <w:rFonts w:ascii="Arial" w:cs="Arial" w:eastAsia="Arial" w:hAnsi="Arial"/>
          <w:color w:val="1A1A2E"/>
          <w:sz w:val="22"/>
          <w:szCs w:val="22"/>
        </w:rPr>
        <w:t xml:space="preserve">Rainfall deviation greater than 30% below average for the district</w:t>
      </w:r>
    </w:p>
    <w:p>
      <w:pPr>
        <w:pStyle w:val="ListParagraph"/>
        <w:numPr>
          <w:ilvl w:val="0"/>
          <w:numId w:val="2"/>
        </w:numPr>
        <w:spacing w:after="40" w:before="40" w:line="276" w:lineRule="auto"/>
      </w:pPr>
      <w:r>
        <w:rPr>
          <w:rFonts w:ascii="Arial" w:cs="Arial" w:eastAsia="Arial" w:hAnsi="Arial"/>
          <w:color w:val="1A1A2E"/>
          <w:sz w:val="22"/>
          <w:szCs w:val="22"/>
        </w:rPr>
        <w:t xml:space="preserve">Crop insurance claim lodged — confirming declared crop loss</w:t>
      </w:r>
    </w:p>
    <w:p>
      <w:pPr>
        <w:pStyle w:val="ListParagraph"/>
        <w:numPr>
          <w:ilvl w:val="0"/>
          <w:numId w:val="2"/>
        </w:numPr>
        <w:spacing w:after="40" w:before="40" w:line="276" w:lineRule="auto"/>
      </w:pPr>
      <w:r>
        <w:rPr>
          <w:rFonts w:ascii="Arial" w:cs="Arial" w:eastAsia="Arial" w:hAnsi="Arial"/>
          <w:color w:val="1A1A2E"/>
          <w:sz w:val="22"/>
          <w:szCs w:val="22"/>
        </w:rPr>
        <w:t xml:space="preserve">Cluster signal: 5+ accounts in the same PACS geography showing simultaneous delinquency</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2451"/>
        <w:gridCol w:w="2451"/>
        <w:gridCol w:w="2452"/>
      </w:tblGrid>
      <w:tr>
        <w:trPr>
          <w:tblHeader/>
        </w:trPr>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EWS ARCHITECTURE</w:t>
            </w:r>
          </w:p>
        </w:tc>
        <w:tc>
          <w:tcPr>
            <w:tcW w:type="dxa" w:w="2451"/>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w:t>
            </w:r>
          </w:p>
        </w:tc>
        <w:tc>
          <w:tcPr>
            <w:tcW w:type="dxa" w:w="2451"/>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w:t>
            </w:r>
          </w:p>
        </w:tc>
        <w:tc>
          <w:tcPr>
            <w:tcW w:type="dxa" w:w="2452"/>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Data inputs</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 CBS + satellite NDVI API + weather API + insurance claims</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Daily CBS feed + NACH bounce data + field officer reports</w:t>
            </w:r>
          </w:p>
        </w:tc>
        <w:tc>
          <w:tcPr>
            <w:tcW w:type="dxa" w:w="2452"/>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Weekly CBS extract; manual branch review</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Scoring model</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ML (XGBoost + Random Forest) — PD score per account</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Rules-based engine (IF/THEN logic on CBS data)</w:t>
            </w:r>
          </w:p>
        </w:tc>
        <w:tc>
          <w:tcPr>
            <w:tcW w:type="dxa" w:w="2452"/>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Excel-based: accounts with &gt;7 DPD flagged automatically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Output</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Radar dashboard; auto-generated intervention recommendation</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Daily prioritised follow-up list for recovery team</w:t>
            </w:r>
          </w:p>
        </w:tc>
        <w:tc>
          <w:tcPr>
            <w:tcW w:type="dxa" w:w="2452"/>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Weekly SMS alert to branch manager with flagged accounts</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 formation reduction target</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20–25%</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12–15%</w:t>
            </w:r>
          </w:p>
        </w:tc>
        <w:tc>
          <w:tcPr>
            <w:tcW w:type="dxa" w:w="2452"/>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8–10%</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Pre-NPA intervention rate</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&gt;60% of eventual NPAs flagged 30+ days in advance</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&gt;40%</w:t>
            </w:r>
          </w:p>
        </w:tc>
        <w:tc>
          <w:tcPr>
            <w:tcW w:type="dxa" w:w="2452"/>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&gt;20%</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Recovery rate (Orange stage)</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78%</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65%</w:t>
            </w:r>
          </w:p>
        </w:tc>
        <w:tc>
          <w:tcPr>
            <w:tcW w:type="dxa" w:w="2452"/>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55%</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15: </w:t>
            </w:r>
            <w:r>
              <w:rPr>
                <w:rFonts w:ascii="Arial" w:cs="Arial" w:eastAsia="Arial" w:hAnsi="Arial"/>
                <w:b/>
                <w:bCs/>
                <w:color w:val="FFFFFF"/>
                <w:sz w:val="26"/>
                <w:szCs w:val="26"/>
              </w:rPr>
              <w:t xml:space="preserve">NACH / eMandate for Loan Repayment</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5 | RAS 3 | ICI 3 | FIQ 5 | CVDS 4 | Total: 20/25</w:t>
      </w:r>
    </w:p>
    <w:p>
      <w:pPr>
        <w:spacing w:after="100" w:before="80" w:line="276" w:lineRule="auto"/>
        <w:jc w:val="both"/>
      </w:pPr>
      <w:r>
        <w:rPr>
          <w:rFonts w:ascii="Arial" w:cs="Arial" w:eastAsia="Arial" w:hAnsi="Arial"/>
          <w:b w:val="false"/>
          <w:bCs w:val="false"/>
          <w:i w:val="false"/>
          <w:iCs w:val="false"/>
          <w:color w:val="1A1A2E"/>
          <w:sz w:val="22"/>
          <w:szCs w:val="22"/>
        </w:rPr>
        <w:t xml:space="preserve">NACH (National Automated Clearing House) automates periodic loan repayment collection by directly debiting the borrower's savings account on scheduled dates. For large banks and commercial loans, NACH processes monthly EMI debits seamlessly. However, for cooperative bank agricultural lending, a critical rural adaptation is required: most KCC borrowers repay in lump sums after harvest (kharif: October–November; rabi: March–April), not in monthly instalments. Standard monthly NACH mandates do not fit agricultural credit repayment patterns and produce systematic failures that damage both repayment rates and borrower relationships.</w:t>
      </w:r>
    </w:p>
    <w:p>
      <w:pPr>
        <w:pStyle w:val="Heading3"/>
        <w:spacing w:after="80" w:before="200"/>
      </w:pPr>
      <w:r>
        <w:rPr>
          <w:rFonts w:ascii="Arial" w:cs="Arial" w:eastAsia="Arial" w:hAnsi="Arial"/>
          <w:b/>
          <w:bCs/>
          <w:color w:val="0A1628"/>
          <w:sz w:val="26"/>
          <w:szCs w:val="26"/>
        </w:rPr>
        <w:t xml:space="preserve">Seasonal NACH Mandate Design:</w:t>
      </w:r>
    </w:p>
    <w:p>
      <w:pPr>
        <w:spacing w:after="100" w:before="80" w:line="276" w:lineRule="auto"/>
        <w:jc w:val="both"/>
      </w:pPr>
      <w:r>
        <w:rPr>
          <w:rFonts w:ascii="Arial" w:cs="Arial" w:eastAsia="Arial" w:hAnsi="Arial"/>
          <w:b w:val="false"/>
          <w:bCs w:val="false"/>
          <w:i w:val="false"/>
          <w:iCs w:val="false"/>
          <w:color w:val="1A1A2E"/>
          <w:sz w:val="22"/>
          <w:szCs w:val="22"/>
        </w:rPr>
        <w:t xml:space="preserve">The correct NACH configuration for KCC agricultural lending is a seasonal variable-date mandate. Instead of 12 monthly debit dates, the mandate specifies 2–4 annual debit dates aligned with the district's crop calendar: one post-kharif harvest (November–December), one post-rabi harvest (April–May), and optionally one post-zaid harvest (July–August for regions with three crop seasons). The mandate debit amount is variable — it matches the interest due and any principal scheduled for that season rather than a fixed monthly amount.</w:t>
      </w:r>
    </w:p>
    <w:p>
      <w:pPr>
        <w:pStyle w:val="ListParagraph"/>
        <w:numPr>
          <w:ilvl w:val="0"/>
          <w:numId w:val="2"/>
        </w:numPr>
        <w:spacing w:after="40" w:before="40" w:line="276" w:lineRule="auto"/>
      </w:pPr>
      <w:r>
        <w:rPr>
          <w:rFonts w:ascii="Arial" w:cs="Arial" w:eastAsia="Arial" w:hAnsi="Arial"/>
          <w:color w:val="1A1A2E"/>
          <w:sz w:val="22"/>
          <w:szCs w:val="22"/>
        </w:rPr>
        <w:t xml:space="preserve">Technical configuration: CBS loan repayment schedule set with seasonal payment dates; NACH mandate API call specifies presentment dates as seasonal; variable amount field populated from CBS outstanding principal + accrued interest</w:t>
      </w:r>
    </w:p>
    <w:p>
      <w:pPr>
        <w:pStyle w:val="ListParagraph"/>
        <w:numPr>
          <w:ilvl w:val="0"/>
          <w:numId w:val="2"/>
        </w:numPr>
        <w:spacing w:after="40" w:before="40" w:line="276" w:lineRule="auto"/>
      </w:pPr>
      <w:r>
        <w:rPr>
          <w:rFonts w:ascii="Arial" w:cs="Arial" w:eastAsia="Arial" w:hAnsi="Arial"/>
          <w:color w:val="1A1A2E"/>
          <w:sz w:val="22"/>
          <w:szCs w:val="22"/>
        </w:rPr>
        <w:t xml:space="preserve">AePS fallback: Where seasonal NACH mandate is not obtainable (borrower has no NACH-eligible bank account), field officers use AePS-enabled micro-ATMs to facilitate manual collection, which is immediately posted to CBS via the mobile collection app</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54"/>
      </w:tblGrid>
      <w:tr>
        <w:trPr>
          <w:tblHeader/>
        </w:trPr>
        <w:tc>
          <w:tcPr>
            <w:tcW w:type="dxa" w:w="2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METRIC</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MANUAL COLLECTION (BASELINE)</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NACH IMPLEMENTATION</w:t>
            </w:r>
          </w:p>
        </w:tc>
        <w:tc>
          <w:tcPr>
            <w:tcW w:type="dxa" w:w="25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IMPROVEMENT</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Cost per repayment collection (₹)</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₹50–80 (field officer visit)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(NACH processing fee)</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93–96% reduction</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Repayment collection success rate</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72–78%</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85–90%</w:t>
            </w:r>
          </w:p>
        </w:tc>
        <w:tc>
          <w:tcPr>
            <w:tcW w:type="dxa" w:w="2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+12–18 percentage points</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Field officer time on collection (hrs/month)</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60–80 hrs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10–15 hrs (exception handling)</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75–80% reduction</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 from missed payments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Higher (delayed detection)</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Lower (immediate bounce alert)</w:t>
            </w:r>
          </w:p>
        </w:tc>
        <w:tc>
          <w:tcPr>
            <w:tcW w:type="dxa" w:w="2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10–15% NPA reduction</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Time to detect missed payment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14–30 days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24–48 hours (bounce notification)</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95% faster detection</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16: </w:t>
            </w:r>
            <w:r>
              <w:rPr>
                <w:rFonts w:ascii="Arial" w:cs="Arial" w:eastAsia="Arial" w:hAnsi="Arial"/>
                <w:b/>
                <w:bCs/>
                <w:color w:val="FFFFFF"/>
                <w:sz w:val="26"/>
                <w:szCs w:val="26"/>
              </w:rPr>
              <w:t xml:space="preserve">Human Resources Management System (HRMS) and Payroll</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5 | RAS 5 | ICI 5 | FIQ 3 | CVDS 2 | Total: 20/25</w:t>
      </w:r>
    </w:p>
    <w:p>
      <w:pPr>
        <w:spacing w:after="100" w:before="80" w:line="276" w:lineRule="auto"/>
        <w:jc w:val="both"/>
      </w:pPr>
      <w:r>
        <w:rPr>
          <w:rFonts w:ascii="Arial" w:cs="Arial" w:eastAsia="Arial" w:hAnsi="Arial"/>
          <w:b w:val="false"/>
          <w:bCs w:val="false"/>
          <w:i w:val="false"/>
          <w:iCs w:val="false"/>
          <w:color w:val="1A1A2E"/>
          <w:sz w:val="22"/>
          <w:szCs w:val="22"/>
        </w:rPr>
        <w:t xml:space="preserve">HRMS and payroll automation is the most straightforward digital product for any DCCB regardless of category — because it does not require CBS integration, NPCI certification, or customer-facing infrastructure. It is a pure internal efficiency product that reduces payroll processing time from 3–5 days to under 4 hours, eliminates manual PF, ESI, and TDS computation errors, and provides leave and attendance management that reduces payroll disputes.</w:t>
      </w:r>
    </w:p>
    <w:p>
      <w:pPr>
        <w:pStyle w:val="Heading3"/>
        <w:spacing w:after="80" w:before="200"/>
      </w:pPr>
      <w:r>
        <w:rPr>
          <w:rFonts w:ascii="Arial" w:cs="Arial" w:eastAsia="Arial" w:hAnsi="Arial"/>
          <w:b/>
          <w:bCs/>
          <w:color w:val="0A1628"/>
          <w:sz w:val="26"/>
          <w:szCs w:val="26"/>
        </w:rPr>
        <w:t xml:space="preserve">SSPL Shared HRMS Model:</w:t>
      </w:r>
    </w:p>
    <w:p>
      <w:pPr>
        <w:spacing w:after="100" w:before="80" w:line="276" w:lineRule="auto"/>
        <w:jc w:val="both"/>
      </w:pPr>
      <w:r>
        <w:rPr>
          <w:rFonts w:ascii="Arial" w:cs="Arial" w:eastAsia="Arial" w:hAnsi="Arial"/>
          <w:b w:val="false"/>
          <w:bCs w:val="false"/>
          <w:i w:val="false"/>
          <w:iCs w:val="false"/>
          <w:color w:val="1A1A2E"/>
          <w:sz w:val="22"/>
          <w:szCs w:val="22"/>
        </w:rPr>
        <w:t xml:space="preserve">A single SSPL-hosted HRMS instance can serve all 352 DCCBs. Each DCCB gets a partitioned tenant within the shared platform. Cost per DCCB: approximately ₹30–60 per employee per month — lower than any standalone SaaS deployment.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2000"/>
        <w:gridCol w:w="19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VENDOR</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PER EMPLOYEE/MONTH (₹)</w:t>
            </w:r>
          </w:p>
        </w:tc>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KEY FEATURES</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COOPERATIVE BANK CLIENTS</w:t>
            </w:r>
          </w:p>
        </w:tc>
        <w:tc>
          <w:tcPr>
            <w:tcW w:type="dxa" w:w="1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BEST FOR</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GreytHR</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₹50–80</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Payroll + attendance + leave + PF/ESI/TDS automated</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Several cooperative banks in Maharashtra</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 and PD-RFI</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Zoho People + Payroll</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₹50–100</w:t>
            </w:r>
          </w:p>
        </w:tc>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Integrated HR + accounting; mobile app</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SMEs, smaller cooperatives</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Keka HR</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₹80–150</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Advanced features; KPI management; performance reviews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Mid-size institutions</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Spine HR</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₹60–120</w:t>
            </w:r>
          </w:p>
        </w:tc>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Banking sector focus; PF, ESI, LWF, Gratuity, Bonus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Multiple cooperative banks</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DM-RFI and PD-RFI</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HRMS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₹30–60 (estimated)</w:t>
            </w:r>
          </w:p>
        </w:tc>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Cooperative-specific; SSPL integrated</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DCCB cooperative sector</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categories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17: </w:t>
            </w:r>
            <w:r>
              <w:rPr>
                <w:rFonts w:ascii="Arial" w:cs="Arial" w:eastAsia="Arial" w:hAnsi="Arial"/>
                <w:b/>
                <w:bCs/>
                <w:color w:val="FFFFFF"/>
                <w:sz w:val="26"/>
                <w:szCs w:val="26"/>
              </w:rPr>
              <w:t xml:space="preserve">Cybersecurity and Data Security Infrastructure</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5 | RAS 4 | ICI 2 | FIQ 4 | CVDS 3 | Total: 18/25 — MANDATORY</w:t>
      </w:r>
    </w:p>
    <w:p>
      <w:pPr>
        <w:spacing w:after="100" w:before="80" w:line="276" w:lineRule="auto"/>
        <w:jc w:val="both"/>
      </w:pPr>
      <w:r>
        <w:rPr>
          <w:rFonts w:ascii="Arial" w:cs="Arial" w:eastAsia="Arial" w:hAnsi="Arial"/>
          <w:b w:val="false"/>
          <w:bCs w:val="false"/>
          <w:i w:val="false"/>
          <w:iCs w:val="false"/>
          <w:color w:val="1A1A2E"/>
          <w:sz w:val="22"/>
          <w:szCs w:val="22"/>
        </w:rPr>
        <w:t xml:space="preserve">RBI's cybersecurity framework for cooperative banks (2023–24 circular) mandates: endpoint protection on all devices accessing CBS; VPN for inter-branch connectivity; OTP-based customer authentication on all digital channels; AES-256 encryption for data at rest and in transit; annual Vulnerability Assessment and Penetration Testing (VAPT) by an approved agency; incident response plan; and SOC connectivity. Non-compliance creates regulatory risk and customer trust risk simultaneously.</w:t>
      </w:r>
    </w:p>
    <w:p>
      <w:pPr>
        <w:spacing w:after="100" w:before="80" w:line="276" w:lineRule="auto"/>
        <w:jc w:val="both"/>
      </w:pPr>
      <w:r>
        <w:rPr>
          <w:rFonts w:ascii="Arial" w:cs="Arial" w:eastAsia="Arial" w:hAnsi="Arial"/>
          <w:b w:val="false"/>
          <w:bCs w:val="false"/>
          <w:i w:val="false"/>
          <w:iCs w:val="false"/>
          <w:color w:val="1A1A2E"/>
          <w:sz w:val="22"/>
          <w:szCs w:val="22"/>
        </w:rPr>
        <w:t xml:space="preserve">An individual DCCB cannot economically afford a dedicated SOC (Security Operations Centre) — minimum ₹50–100 lakhs per year. SSPL's shared SOC model — one SOC serving all cooperative banks — reduces the per-DCCB cost to ₹3–8 lakhs annually. This is the single most compelling SSPL shared service from an economic standpoint for cybersecurity.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77"/>
        <w:gridCol w:w="2677"/>
      </w:tblGrid>
      <w:tr>
        <w:trPr>
          <w:tblHeader/>
        </w:trPr>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SECURITY LAYER</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 MINIMUM</w:t>
            </w:r>
          </w:p>
        </w:tc>
        <w:tc>
          <w:tcPr>
            <w:tcW w:type="dxa" w:w="2677"/>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 STANDARD</w:t>
            </w:r>
          </w:p>
        </w:tc>
        <w:tc>
          <w:tcPr>
            <w:tcW w:type="dxa" w:w="2677"/>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 ADVANCED</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Endpoint protection</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Microsoft Defender or Sophos Intercept X</w:t>
            </w:r>
          </w:p>
        </w:tc>
        <w:tc>
          <w:tcPr>
            <w:tcW w:type="dxa" w:w="2677"/>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Same + centralised management console</w:t>
            </w:r>
          </w:p>
        </w:tc>
        <w:tc>
          <w:tcPr>
            <w:tcW w:type="dxa" w:w="2677"/>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Same + EDR (Endpoint Detection &amp; Response)</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Network security</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IPsec VPN between branches; basic firewall</w:t>
            </w:r>
          </w:p>
        </w:tc>
        <w:tc>
          <w:tcPr>
            <w:tcW w:type="dxa" w:w="2677"/>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Same + SIEM light; API security gateway</w:t>
            </w:r>
          </w:p>
        </w:tc>
        <w:tc>
          <w:tcPr>
            <w:tcW w:type="dxa" w:w="2677"/>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SIEM + DDoS protection + cloud security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Authentication</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OTP for CBS customer access; basic MFA for staff</w:t>
            </w:r>
          </w:p>
        </w:tc>
        <w:tc>
          <w:tcPr>
            <w:tcW w:type="dxa" w:w="2677"/>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MFA for all CBS users; biometric for critical ops</w:t>
            </w:r>
          </w:p>
        </w:tc>
        <w:tc>
          <w:tcPr>
            <w:tcW w:type="dxa" w:w="2677"/>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Adaptive MFA + zero-trust architecture</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Data protection</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AES-256 database encryption</w:t>
            </w:r>
          </w:p>
        </w:tc>
        <w:tc>
          <w:tcPr>
            <w:tcW w:type="dxa" w:w="2677"/>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Same + DLP (Data Loss Prevention)</w:t>
            </w:r>
          </w:p>
        </w:tc>
        <w:tc>
          <w:tcPr>
            <w:tcW w:type="dxa" w:w="2677"/>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Same + CASB (Cloud Access Security Broker)</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Monitoring &amp; audit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Quarterly external security audit</w:t>
            </w:r>
          </w:p>
        </w:tc>
        <w:tc>
          <w:tcPr>
            <w:tcW w:type="dxa" w:w="2677"/>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Annual VAPT + 8×5 monitoring</w:t>
            </w:r>
          </w:p>
        </w:tc>
        <w:tc>
          <w:tcPr>
            <w:tcW w:type="dxa" w:w="2677"/>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24×7 SSPL SOC + bi-annual VAPT + AI threat detection</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Annual cost per DCCB (₹)</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2677"/>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w:t>
            </w:r>
          </w:p>
        </w:tc>
        <w:tc>
          <w:tcPr>
            <w:tcW w:type="dxa" w:w="2677"/>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 (via SSPL SOC)</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18: </w:t>
            </w:r>
            <w:r>
              <w:rPr>
                <w:rFonts w:ascii="Arial" w:cs="Arial" w:eastAsia="Arial" w:hAnsi="Arial"/>
                <w:b/>
                <w:bCs/>
                <w:color w:val="FFFFFF"/>
                <w:sz w:val="26"/>
                <w:szCs w:val="26"/>
              </w:rPr>
              <w:t xml:space="preserve">Document Management System (DMS) and Digital Vault</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4 | RAS 5 | ICI 4 | FIQ 4 | CVDS 3 | Total: 20/25</w:t>
      </w:r>
    </w:p>
    <w:p>
      <w:pPr>
        <w:spacing w:after="100" w:before="80" w:line="276" w:lineRule="auto"/>
        <w:jc w:val="both"/>
      </w:pPr>
      <w:r>
        <w:rPr>
          <w:rFonts w:ascii="Arial" w:cs="Arial" w:eastAsia="Arial" w:hAnsi="Arial"/>
          <w:b w:val="false"/>
          <w:bCs w:val="false"/>
          <w:i w:val="false"/>
          <w:iCs w:val="false"/>
          <w:color w:val="1A1A2E"/>
          <w:sz w:val="22"/>
          <w:szCs w:val="22"/>
        </w:rPr>
        <w:t xml:space="preserve">The physical loan file rooms of most DCCBs are repositories of institutional risk: documents that flood, deteriorate, or get misfiled; KCC renewal applications blocked because the original 2017 appraisal file cannot be found; NABARD inspectors requiring 3 days to verify records that should be retrievable in minutes. A DMS moves loan and customer documents from physical custody to a structured, searchable, access-controlled digital repository.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000"/>
        <w:gridCol w:w="2000"/>
        <w:gridCol w:w="1400"/>
        <w:gridCol w:w="16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DMS TIER</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TECHNOLOGY</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OCR / AI</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w:t>
            </w:r>
          </w:p>
        </w:tc>
        <w:tc>
          <w:tcPr>
            <w:tcW w:type="dxa" w:w="16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DEPLOY TIME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Tier 1 Basic</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Google Workspace / SharePoint folder structure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None</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₹5,000–15,000/year</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15–30 days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Tier 2 Operational</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Dedicated DMS with CBS document hooks; scan + upload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Basic OCR for text extraction</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 one-time</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60–90 days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Tier 3 AI-powered</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AI-DMS: auto-verify land records, Aadhaar, income cert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Advanced OCR + document verification AI</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₹8–25 lakhs</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90–180 days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19: </w:t>
            </w:r>
            <w:r>
              <w:rPr>
                <w:rFonts w:ascii="Arial" w:cs="Arial" w:eastAsia="Arial" w:hAnsi="Arial"/>
                <w:b/>
                <w:bCs/>
                <w:color w:val="FFFFFF"/>
                <w:sz w:val="26"/>
                <w:szCs w:val="26"/>
              </w:rPr>
              <w:t xml:space="preserve">Treasury Management and SLR / Investment Tracking</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5 | RAS 5 | ICI 4 | FIQ 4 | CVDS 3 | Total: 21/25</w:t>
      </w:r>
    </w:p>
    <w:p>
      <w:pPr>
        <w:spacing w:after="100" w:before="80" w:line="276" w:lineRule="auto"/>
        <w:jc w:val="both"/>
      </w:pPr>
      <w:r>
        <w:rPr>
          <w:rFonts w:ascii="Arial" w:cs="Arial" w:eastAsia="Arial" w:hAnsi="Arial"/>
          <w:b w:val="false"/>
          <w:bCs w:val="false"/>
          <w:i w:val="false"/>
          <w:iCs w:val="false"/>
          <w:color w:val="1A1A2E"/>
          <w:sz w:val="22"/>
          <w:szCs w:val="22"/>
        </w:rPr>
        <w:t xml:space="preserve">For DCCBs, treasury management is not the sophisticated G-Sec trading, forex, and derivatives operation of a commercial bank. It is the disciplined management of SLR-eligible investments to ensure regulatory compliance, optimise coupon income, and maintain liquidity. The CBS Investment / Treasury module is the appropriate tool — not a standalone Treasury Management System (TMS). The goal is: zero SLR breach, maximum SLR-eligible coupon income, accurate CRAR computation from investment data, and CCIL SGL integration for G-Sec settlement.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2451"/>
        <w:gridCol w:w="2451"/>
        <w:gridCol w:w="2452"/>
      </w:tblGrid>
      <w:tr>
        <w:trPr>
          <w:tblHeader/>
        </w:trPr>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FUNCTION</w:t>
            </w:r>
          </w:p>
        </w:tc>
        <w:tc>
          <w:tcPr>
            <w:tcW w:type="dxa" w:w="2451"/>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w:t>
            </w:r>
          </w:p>
        </w:tc>
        <w:tc>
          <w:tcPr>
            <w:tcW w:type="dxa" w:w="2451"/>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w:t>
            </w:r>
          </w:p>
        </w:tc>
        <w:tc>
          <w:tcPr>
            <w:tcW w:type="dxa" w:w="2452"/>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SLR tracking</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 CBS computation + CCIL SGL integration</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investment module + manual CCIL interface</w:t>
            </w:r>
          </w:p>
        </w:tc>
        <w:tc>
          <w:tcPr>
            <w:tcW w:type="dxa" w:w="2452"/>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Investment register in CBS; manual SLR calculation from CBS report</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SLR breach alert</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Automated SMS/email at 18.50% (above 18% minimum)</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Daily CBS report reviewed by compliance officer</w:t>
            </w:r>
          </w:p>
        </w:tc>
        <w:tc>
          <w:tcPr>
            <w:tcW w:type="dxa" w:w="2452"/>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Weekly manual review</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Coupon management</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Auto-posted to GL from CBS on maturity/coupon date</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Manual posting with CBS GL voucher</w:t>
            </w:r>
          </w:p>
        </w:tc>
        <w:tc>
          <w:tcPr>
            <w:tcW w:type="dxa" w:w="2452"/>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Manual posting</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CRAR integration</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Direct feed from investment module to CRAR engine</w:t>
            </w:r>
          </w:p>
        </w:tc>
        <w:tc>
          <w:tcPr>
            <w:tcW w:type="dxa" w:w="2451"/>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Manual data extraction for CRAR</w:t>
            </w:r>
          </w:p>
        </w:tc>
        <w:tc>
          <w:tcPr>
            <w:tcW w:type="dxa" w:w="2452"/>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Manual data extraction</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Annual cost</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lakhs (configuration + CCIL integration)</w:t>
            </w:r>
          </w:p>
        </w:tc>
        <w:tc>
          <w:tcPr>
            <w:tcW w:type="dxa" w:w="2451"/>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module activation: ₹0.5–1 lakh</w:t>
            </w:r>
          </w:p>
        </w:tc>
        <w:tc>
          <w:tcPr>
            <w:tcW w:type="dxa" w:w="2452"/>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 (CBS-bundled)</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none" w:color="FFFFFF" w:sz="0"/>
              <w:left w:val="none" w:color="FFFFFF" w:sz="0"/>
              <w:bottom w:val="none" w:color="FFFFFF" w:sz="0"/>
              <w:right w:val="none" w:color="FFFFFF" w:sz="0"/>
            </w:tcBorders>
            <w:shd w:fill="0D2340" w:val="clear"/>
            <w:tcMar>
              <w:top w:type="dxa" w:w="120"/>
              <w:left w:type="dxa" w:w="240"/>
              <w:bottom w:type="dxa" w:w="120"/>
              <w:right w:type="dxa" w:w="240"/>
            </w:tcMar>
          </w:tcPr>
          <w:p>
            <w:r>
              <w:rPr>
                <w:rFonts w:ascii="Arial" w:cs="Arial" w:eastAsia="Arial" w:hAnsi="Arial"/>
                <w:b/>
                <w:bCs/>
                <w:color w:val="14B8B8"/>
                <w:sz w:val="22"/>
                <w:szCs w:val="22"/>
              </w:rPr>
              <w:t xml:space="preserve">PRODUCT 20: </w:t>
            </w:r>
            <w:r>
              <w:rPr>
                <w:rFonts w:ascii="Arial" w:cs="Arial" w:eastAsia="Arial" w:hAnsi="Arial"/>
                <w:b/>
                <w:bCs/>
                <w:color w:val="FFFFFF"/>
                <w:sz w:val="26"/>
                <w:szCs w:val="26"/>
              </w:rPr>
              <w:t xml:space="preserve">Fraud Detection and Anti-Money Laundering (AML) System</w:t>
            </w:r>
          </w:p>
        </w:tc>
      </w:tr>
    </w:tbl>
    <w:p>
      <w:pPr>
        <w:spacing w:after="60" w:before="60"/>
      </w:pPr>
      <w:r>
        <w:t xml:space="preserve"/>
      </w:r>
    </w:p>
    <w:p>
      <w:pPr>
        <w:pStyle w:val="Heading3"/>
        <w:spacing w:after="80" w:before="200"/>
      </w:pPr>
      <w:r>
        <w:rPr>
          <w:rFonts w:ascii="Arial" w:cs="Arial" w:eastAsia="Arial" w:hAnsi="Arial"/>
          <w:b/>
          <w:bCs/>
          <w:color w:val="0A1628"/>
          <w:sz w:val="26"/>
          <w:szCs w:val="26"/>
        </w:rPr>
        <w:t xml:space="preserve">GBPEM Scores: PMS 4 | RAS 4 | ICI 2 | FIQ 4 | CVDS 3 | Total: 17/25 — Via SSPL</w:t>
      </w:r>
    </w:p>
    <w:p>
      <w:pPr>
        <w:spacing w:after="100" w:before="80" w:line="276" w:lineRule="auto"/>
        <w:jc w:val="both"/>
      </w:pPr>
      <w:r>
        <w:rPr>
          <w:rFonts w:ascii="Arial" w:cs="Arial" w:eastAsia="Arial" w:hAnsi="Arial"/>
          <w:b w:val="false"/>
          <w:bCs w:val="false"/>
          <w:i w:val="false"/>
          <w:iCs w:val="false"/>
          <w:color w:val="1A1A2E"/>
          <w:sz w:val="22"/>
          <w:szCs w:val="22"/>
        </w:rPr>
        <w:t xml:space="preserve">All banks including cooperative banks are mandated by RBI and FIU-IND to maintain an AML framework. This includes: CTR (Cash Transaction Reports) for cash transactions above ₹10 lakhs; STR (Suspicious Transaction Reports) for unusual patterns; KYC/CDD (Customer Due Diligence) procedures; and PMLA (Prevention of Money Laundering Act) audit trail. Standalone AML software from commercial vendors costs ₹10–30 lakhs annually — uneconomical for most DCCBs. The SSPL shared AML compliance engine is the only viable pathway for the cooperative sector.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1784"/>
        <w:gridCol w:w="2785"/>
        <w:gridCol w:w="2785"/>
      </w:tblGrid>
      <w:tr>
        <w:trPr>
          <w:tblHeader/>
        </w:trPr>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AML FUNCTION</w:t>
            </w:r>
          </w:p>
        </w:tc>
        <w:tc>
          <w:tcPr>
            <w:tcW w:type="dxa" w:w="178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 (MANUAL)</w:t>
            </w:r>
          </w:p>
        </w:tc>
        <w:tc>
          <w:tcPr>
            <w:tcW w:type="dxa" w:w="2785"/>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 (RULE-BASED)</w:t>
            </w:r>
          </w:p>
        </w:tc>
        <w:tc>
          <w:tcPr>
            <w:tcW w:type="dxa" w:w="2785"/>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 (AI VIA SSPL)</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CTR generation</w:t>
            </w:r>
          </w:p>
        </w:tc>
        <w:tc>
          <w:tcPr>
            <w:tcW w:type="dxa" w:w="178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Manual: teller flags &gt;₹10 lakh cash transactions; manual report preparation</w:t>
            </w:r>
          </w:p>
        </w:tc>
        <w:tc>
          <w:tcPr>
            <w:tcW w:type="dxa" w:w="2785"/>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Rule-based CBS alert: auto-flag &gt;₹10 lakh; template CTR generated</w:t>
            </w:r>
          </w:p>
        </w:tc>
        <w:tc>
          <w:tcPr>
            <w:tcW w:type="dxa" w:w="2785"/>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Auto-generated CTR from CBS; submitted to FIU-IND portal directly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STR filing</w:t>
            </w:r>
          </w:p>
        </w:tc>
        <w:tc>
          <w:tcPr>
            <w:tcW w:type="dxa" w:w="178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Manual: compliance officer reviews monthly; ad hoc filing</w:t>
            </w:r>
          </w:p>
        </w:tc>
        <w:tc>
          <w:tcPr>
            <w:tcW w:type="dxa" w:w="2785"/>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 CBS pattern review; simplified STR workflow</w:t>
            </w:r>
          </w:p>
        </w:tc>
        <w:tc>
          <w:tcPr>
            <w:tcW w:type="dxa" w:w="2785"/>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AI transaction scoring; real-time STR trigger for high-risk patterns</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KYC/CDD</w:t>
            </w:r>
          </w:p>
        </w:tc>
        <w:tc>
          <w:tcPr>
            <w:tcW w:type="dxa" w:w="178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Physical verification; manual record</w:t>
            </w:r>
          </w:p>
        </w:tc>
        <w:tc>
          <w:tcPr>
            <w:tcW w:type="dxa" w:w="2785"/>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eKYC with digital record; annual review alert</w:t>
            </w:r>
          </w:p>
        </w:tc>
        <w:tc>
          <w:tcPr>
            <w:tcW w:type="dxa" w:w="2785"/>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AI-powered ongoing KYC: profile changes trigger re-KYC alert</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Cost per DCCB (₹/year)</w:t>
            </w:r>
          </w:p>
        </w:tc>
        <w:tc>
          <w:tcPr>
            <w:tcW w:type="dxa" w:w="178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Staff time: ₹5–8 lakhs equivalent</w:t>
            </w:r>
          </w:p>
        </w:tc>
        <w:tc>
          <w:tcPr>
            <w:tcW w:type="dxa" w:w="2785"/>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 lakhs (rule-based engine)</w:t>
            </w:r>
          </w:p>
        </w:tc>
        <w:tc>
          <w:tcPr>
            <w:tcW w:type="dxa" w:w="2785"/>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 (SSPL shared platform)</w:t>
            </w:r>
          </w:p>
        </w:tc>
      </w:tr>
    </w:tbl>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III</w:t>
            </w:r>
          </w:p>
          <w:p>
            <w:pPr>
              <w:jc w:val="center"/>
            </w:pPr>
            <w:r>
              <w:rPr>
                <w:rFonts w:ascii="Arial" w:cs="Arial" w:eastAsia="Arial" w:hAnsi="Arial"/>
                <w:b/>
                <w:bCs/>
                <w:color w:val="FFFFFF"/>
                <w:sz w:val="28"/>
                <w:szCs w:val="28"/>
              </w:rPr>
              <w:t xml:space="preserve">Complete Implementation Workflows</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4: Step-by-Step Implementation Workflows</w:t>
      </w:r>
    </w:p>
    <w:p>
      <w:pPr>
        <w:spacing w:after="100" w:before="80" w:line="276" w:lineRule="auto"/>
        <w:jc w:val="both"/>
      </w:pPr>
      <w:r>
        <w:rPr>
          <w:rFonts w:ascii="Arial" w:cs="Arial" w:eastAsia="Arial" w:hAnsi="Arial"/>
          <w:b w:val="false"/>
          <w:bCs w:val="false"/>
          <w:i w:val="false"/>
          <w:iCs w:val="false"/>
          <w:color w:val="1A1A2E"/>
          <w:sz w:val="22"/>
          <w:szCs w:val="22"/>
        </w:rPr>
        <w:t xml:space="preserve">The following workflows provide complete, step-by-step implementation guidance for six priority products across all three RFI categories. Each workflow specifies responsible parties, outputs, durations, costs, dependencies, and performance metrics.</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Workflow Set A: Mobile Banking Application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single" w:color="0E8A8A" w:sz="8"/>
              <w:left w:val="single" w:color="0E8A8A" w:sz="8"/>
              <w:bottom w:val="single" w:color="0E8A8A" w:sz="8"/>
              <w:right w:val="single" w:color="0E8A8A" w:sz="8"/>
            </w:tcBorders>
            <w:shd w:fill="F5FAFA" w:val="clear"/>
            <w:tcMar>
              <w:top w:type="dxa" w:w="160"/>
              <w:left w:type="dxa" w:w="240"/>
              <w:bottom w:type="dxa" w:w="160"/>
              <w:right w:type="dxa" w:w="240"/>
            </w:tcMar>
          </w:tcPr>
          <w:p>
            <w:r>
              <w:rPr>
                <w:rFonts w:ascii="Arial" w:cs="Arial" w:eastAsia="Arial" w:hAnsi="Arial"/>
                <w:b/>
                <w:bCs/>
                <w:color w:val="0E8A8A"/>
                <w:sz w:val="20"/>
                <w:szCs w:val="20"/>
              </w:rPr>
              <w:t xml:space="preserve">PRODUCT: </w:t>
            </w:r>
            <w:r>
              <w:rPr>
                <w:rFonts w:ascii="Arial" w:cs="Arial" w:eastAsia="Arial" w:hAnsi="Arial"/>
                <w:color w:val="0A1628"/>
                <w:sz w:val="20"/>
                <w:szCs w:val="20"/>
              </w:rPr>
              <w:t xml:space="preserve">Mobile Banking Application</w:t>
            </w:r>
          </w:p>
          <w:p>
            <w:r>
              <w:rPr>
                <w:rFonts w:ascii="Arial" w:cs="Arial" w:eastAsia="Arial" w:hAnsi="Arial"/>
                <w:b/>
                <w:bCs/>
                <w:color w:val="0E8A8A"/>
                <w:sz w:val="20"/>
                <w:szCs w:val="20"/>
              </w:rPr>
              <w:t xml:space="preserve">RFI CATEGORY: </w:t>
            </w:r>
            <w:r>
              <w:rPr>
                <w:rFonts w:ascii="Arial" w:cs="Arial" w:eastAsia="Arial" w:hAnsi="Arial"/>
                <w:color w:val="0A1628"/>
                <w:sz w:val="20"/>
                <w:szCs w:val="20"/>
              </w:rPr>
              <w:t xml:space="preserve">DM-RFI</w:t>
            </w:r>
          </w:p>
          <w:p>
            <w:r>
              <w:rPr>
                <w:rFonts w:ascii="Arial" w:cs="Arial" w:eastAsia="Arial" w:hAnsi="Arial"/>
                <w:b/>
                <w:bCs/>
                <w:color w:val="0E8A8A"/>
                <w:sz w:val="20"/>
                <w:szCs w:val="20"/>
              </w:rPr>
              <w:t xml:space="preserve">SSPL PATHWAY: </w:t>
            </w:r>
            <w:r>
              <w:rPr>
                <w:rFonts w:ascii="Arial" w:cs="Arial" w:eastAsia="Arial" w:hAnsi="Arial"/>
                <w:color w:val="0A1628"/>
                <w:sz w:val="20"/>
                <w:szCs w:val="20"/>
              </w:rPr>
              <w:t xml:space="preserve">SSPL White-Label App + NPCI UPI 123PAY</w:t>
            </w:r>
          </w:p>
          <w:p>
            <w:r>
              <w:rPr>
                <w:rFonts w:ascii="Arial" w:cs="Arial" w:eastAsia="Arial" w:hAnsi="Arial"/>
                <w:b/>
                <w:bCs/>
                <w:color w:val="0E8A8A"/>
                <w:sz w:val="20"/>
                <w:szCs w:val="20"/>
              </w:rPr>
              <w:t xml:space="preserve">RECOMMENDED CBS/VENDOR: </w:t>
            </w:r>
            <w:r>
              <w:rPr>
                <w:rFonts w:ascii="Arial" w:cs="Arial" w:eastAsia="Arial" w:hAnsi="Arial"/>
                <w:color w:val="0A1628"/>
                <w:sz w:val="20"/>
                <w:szCs w:val="20"/>
              </w:rPr>
              <w:t xml:space="preserve">C-Edge CBS + SSPL App Platform</w:t>
            </w:r>
          </w:p>
          <w:p>
            <w:r>
              <w:rPr>
                <w:rFonts w:ascii="Arial" w:cs="Arial" w:eastAsia="Arial" w:hAnsi="Arial"/>
                <w:b/>
                <w:bCs/>
                <w:color w:val="0A1628"/>
                <w:sz w:val="22"/>
                <w:szCs w:val="22"/>
              </w:rPr>
              <w:t xml:space="preserve">PHASE 1 (Month 0–3): Assessment and Platform Selection</w:t>
            </w:r>
          </w:p>
          <w:p>
            <w:r>
              <w:rPr>
                <w:rFonts w:ascii="Arial" w:cs="Arial" w:eastAsia="Arial" w:hAnsi="Arial"/>
                <w:color w:val="1A1A2E"/>
                <w:sz w:val="20"/>
                <w:szCs w:val="20"/>
              </w:rPr>
              <w:t xml:space="preserve">Step 1: CBS API audit — DCCB IT Officer + SSPL Technical Consultant. Output: API capability gap report. Duration: 2 weeks. Cost: ₹0 (SSPL advisory). Dependency: CBS must be real-time (not batch).</w:t>
            </w:r>
          </w:p>
          <w:p>
            <w:r>
              <w:rPr>
                <w:rFonts w:ascii="Arial" w:cs="Arial" w:eastAsia="Arial" w:hAnsi="Arial"/>
                <w:color w:val="1A1A2E"/>
                <w:sz w:val="20"/>
                <w:szCs w:val="20"/>
              </w:rPr>
              <w:t xml:space="preserve">Step 2: SSPL white-label app configuration — branding, regional language selection, feature set definition. Responsible: SSPL Tech Team + DCCB Management. Output: Configured app UAT environment. Duration: 4 weeks. Cost: ₹8–12 lakhs one-time licence.</w:t>
            </w:r>
          </w:p>
          <w:p>
            <w:r>
              <w:rPr>
                <w:rFonts w:ascii="Arial" w:cs="Arial" w:eastAsia="Arial" w:hAnsi="Arial"/>
                <w:color w:val="1A1A2E"/>
                <w:sz w:val="20"/>
                <w:szCs w:val="20"/>
              </w:rPr>
              <w:t xml:space="preserve">Step 3: NPCI UPI membership application — DCCB IT Officer + SSPL compliance team. Output: NPCI UPI certificate. Duration: 8–10 weeks. Cost: ₹1–2 lakhs NPCI fee.</w:t>
            </w:r>
          </w:p>
          <w:p>
            <w:r>
              <w:rPr>
                <w:rFonts w:ascii="Arial" w:cs="Arial" w:eastAsia="Arial" w:hAnsi="Arial"/>
                <w:color w:val="1A1A2E"/>
                <w:sz w:val="20"/>
                <w:szCs w:val="20"/>
              </w:rPr>
              <w:t xml:space="preserve">Step 4: Staff training — branch managers and front-desk staff on app features, customer onboarding protocol, UPI troubleshooting. Responsible: SSPL Training Team. Duration: 1 week (2 days per batch). Cost: ₹1–2 lakhs.</w:t>
            </w:r>
          </w:p>
          <w:p>
            <w:r>
              <w:rPr>
                <w:rFonts w:ascii="Arial" w:cs="Arial" w:eastAsia="Arial" w:hAnsi="Arial"/>
                <w:b/>
                <w:bCs/>
                <w:color w:val="0E8A8A"/>
                <w:sz w:val="20"/>
                <w:szCs w:val="20"/>
              </w:rPr>
              <w:t xml:space="preserve">PHASE 1 MILESTONE: App live on Google Play/App Store; 500+ active registrations within 30 days of launch.</w:t>
            </w:r>
          </w:p>
          <w:p>
            <w:r>
              <w:rPr>
                <w:rFonts w:ascii="Arial" w:cs="Arial" w:eastAsia="Arial" w:hAnsi="Arial"/>
                <w:b/>
                <w:bCs/>
                <w:color w:val="0A1628"/>
                <w:sz w:val="22"/>
                <w:szCs w:val="22"/>
              </w:rPr>
              <w:t xml:space="preserve">PHASE 2 (Month 3–12): Scale-Up and Feature Expansion</w:t>
            </w:r>
          </w:p>
          <w:p>
            <w:r>
              <w:rPr>
                <w:rFonts w:ascii="Arial" w:cs="Arial" w:eastAsia="Arial" w:hAnsi="Arial"/>
                <w:color w:val="1A1A2E"/>
                <w:sz w:val="20"/>
                <w:szCs w:val="20"/>
              </w:rPr>
              <w:t xml:space="preserve">Step 5: Add KCC loan status view, PMFBY claim tracker, nearest BC locator. Responsible: SSPL + DCCB product team. Output: V2.0 app release. Duration: 6 weeks. Cost: ₹3–5 lakhs (feature addition).</w:t>
            </w:r>
          </w:p>
          <w:p>
            <w:r>
              <w:rPr>
                <w:rFonts w:ascii="Arial" w:cs="Arial" w:eastAsia="Arial" w:hAnsi="Arial"/>
                <w:color w:val="1A1A2E"/>
                <w:sz w:val="20"/>
                <w:szCs w:val="20"/>
              </w:rPr>
              <w:t xml:space="preserve">Step 6: WhatsApp banking integration via SSPL shared API. Output: WhatsApp banking live in regional language. Duration: 4 weeks. Cost: ₹50K–1 lakh/year (SSPL shared).</w:t>
            </w:r>
          </w:p>
          <w:p>
            <w:r>
              <w:rPr>
                <w:rFonts w:ascii="Arial" w:cs="Arial" w:eastAsia="Arial" w:hAnsi="Arial"/>
                <w:b/>
                <w:bCs/>
                <w:color w:val="0E8A8A"/>
                <w:sz w:val="20"/>
                <w:szCs w:val="20"/>
              </w:rPr>
              <w:t xml:space="preserve">PHASE 2 MILESTONE: 40%+ digital transaction ratio; 5,000+ active app users.</w:t>
            </w:r>
          </w:p>
          <w:p>
            <w:r>
              <w:rPr>
                <w:rFonts w:ascii="Arial" w:cs="Arial" w:eastAsia="Arial" w:hAnsi="Arial"/>
                <w:b/>
                <w:bCs/>
                <w:color w:val="0A1628"/>
                <w:sz w:val="22"/>
                <w:szCs w:val="22"/>
              </w:rPr>
              <w:t xml:space="preserve">PHASE 3 (Month 12–36): AI Integration and Full Channel Parity</w:t>
            </w:r>
          </w:p>
          <w:p>
            <w:r>
              <w:rPr>
                <w:rFonts w:ascii="Arial" w:cs="Arial" w:eastAsia="Arial" w:hAnsi="Arial"/>
                <w:color w:val="1A1A2E"/>
                <w:sz w:val="20"/>
                <w:szCs w:val="20"/>
              </w:rPr>
              <w:t xml:space="preserve">Step 7: AI chatbot integration; loan pre-approval via app; PACS-level mini-bank on app. Target: 80%+ transactions via digital channels. Duration: 12 months. Cost: ₹5–10 lakhs.</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METRIC</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BASELINE</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 PHASE 1</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 PHASE 2</w:t>
            </w:r>
          </w:p>
        </w:tc>
        <w:tc>
          <w:tcPr>
            <w:tcW w:type="dxa" w:w="27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 PHASE 3</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transaction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55%</w:t>
            </w:r>
          </w:p>
        </w:tc>
        <w:tc>
          <w:tcPr>
            <w:tcW w:type="dxa" w:w="2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85%</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Cost per transaction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₹40</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2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Customer satisfaction score (/5)</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3.8</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4.1</w:t>
            </w:r>
          </w:p>
        </w:tc>
        <w:tc>
          <w:tcPr>
            <w:tcW w:type="dxa" w:w="2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4.4</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Branch teller workload (txns/day)</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100% at counter</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75% at counter</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45% at counter</w:t>
            </w:r>
          </w:p>
        </w:tc>
        <w:tc>
          <w:tcPr>
            <w:tcW w:type="dxa" w:w="2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 at counter</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App active users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2,000+</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8,000+</w:t>
            </w:r>
          </w:p>
        </w:tc>
        <w:tc>
          <w:tcPr>
            <w:tcW w:type="dxa" w:w="2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20,000+</w:t>
            </w:r>
          </w:p>
        </w:tc>
      </w:tr>
    </w:tbl>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000"/>
        <w:gridCol w:w="5354"/>
      </w:tblGrid>
      <w:tr>
        <w:trPr>
          <w:tblHeader/>
        </w:trPr>
        <w:tc>
          <w:tcPr>
            <w:tcW w:type="dxa" w:w="4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COST-BENEFIT ITEM</w:t>
            </w:r>
          </w:p>
        </w:tc>
        <w:tc>
          <w:tcPr>
            <w:tcW w:type="dxa" w:w="5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AMOUNT</w:t>
            </w:r>
          </w:p>
        </w:tc>
      </w:tr>
      <w:tr>
        <w:tc>
          <w:tcPr>
            <w:tcW w:type="dxa" w:w="4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Implementation cost (one-time)</w:t>
            </w:r>
          </w:p>
        </w:tc>
        <w:tc>
          <w:tcPr>
            <w:tcW w:type="dxa" w:w="5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₹15–25 lakhs</w:t>
            </w:r>
          </w:p>
        </w:tc>
      </w:tr>
      <w:tr>
        <w:tc>
          <w:tcPr>
            <w:tcW w:type="dxa" w:w="4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Annual operating cost</w:t>
            </w:r>
          </w:p>
        </w:tc>
        <w:tc>
          <w:tcPr>
            <w:tcW w:type="dxa" w:w="5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lakhs</w:t>
            </w:r>
          </w:p>
        </w:tc>
      </w:tr>
      <w:tr>
        <w:tc>
          <w:tcPr>
            <w:tcW w:type="dxa" w:w="4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Year 1 gross savings (transaction cost)</w:t>
            </w:r>
          </w:p>
        </w:tc>
        <w:tc>
          <w:tcPr>
            <w:tcW w:type="dxa" w:w="5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₹8–15 lakhs</w:t>
            </w:r>
          </w:p>
        </w:tc>
      </w:tr>
      <w:tr>
        <w:tc>
          <w:tcPr>
            <w:tcW w:type="dxa" w:w="4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Break-even point</w:t>
            </w:r>
          </w:p>
        </w:tc>
        <w:tc>
          <w:tcPr>
            <w:tcW w:type="dxa" w:w="5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 18–24</w:t>
            </w:r>
          </w:p>
        </w:tc>
      </w:tr>
      <w:tr>
        <w:tc>
          <w:tcPr>
            <w:tcW w:type="dxa" w:w="4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5-Year net benefit</w:t>
            </w:r>
          </w:p>
        </w:tc>
        <w:tc>
          <w:tcPr>
            <w:tcW w:type="dxa" w:w="5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₹40–80 lakhs</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Workflow Set B: Digital KCC Loan Origination System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single" w:color="0E8A8A" w:sz="8"/>
              <w:left w:val="single" w:color="0E8A8A" w:sz="8"/>
              <w:bottom w:val="single" w:color="0E8A8A" w:sz="8"/>
              <w:right w:val="single" w:color="0E8A8A" w:sz="8"/>
            </w:tcBorders>
            <w:shd w:fill="F5FAFA" w:val="clear"/>
            <w:tcMar>
              <w:top w:type="dxa" w:w="160"/>
              <w:left w:type="dxa" w:w="240"/>
              <w:bottom w:type="dxa" w:w="160"/>
              <w:right w:type="dxa" w:w="240"/>
            </w:tcMar>
          </w:tcPr>
          <w:p>
            <w:r>
              <w:rPr>
                <w:rFonts w:ascii="Arial" w:cs="Arial" w:eastAsia="Arial" w:hAnsi="Arial"/>
                <w:b/>
                <w:bCs/>
                <w:color w:val="0E8A8A"/>
                <w:sz w:val="20"/>
                <w:szCs w:val="20"/>
              </w:rPr>
              <w:t xml:space="preserve">PRODUCT: </w:t>
            </w:r>
            <w:r>
              <w:rPr>
                <w:rFonts w:ascii="Arial" w:cs="Arial" w:eastAsia="Arial" w:hAnsi="Arial"/>
                <w:color w:val="0A1628"/>
                <w:sz w:val="20"/>
                <w:szCs w:val="20"/>
              </w:rPr>
              <w:t xml:space="preserve">Digital KCC LOS</w:t>
            </w:r>
          </w:p>
          <w:p>
            <w:r>
              <w:rPr>
                <w:rFonts w:ascii="Arial" w:cs="Arial" w:eastAsia="Arial" w:hAnsi="Arial"/>
                <w:b/>
                <w:bCs/>
                <w:color w:val="0E8A8A"/>
                <w:sz w:val="20"/>
                <w:szCs w:val="20"/>
              </w:rPr>
              <w:t xml:space="preserve">RFI CATEGORY: </w:t>
            </w:r>
            <w:r>
              <w:rPr>
                <w:rFonts w:ascii="Arial" w:cs="Arial" w:eastAsia="Arial" w:hAnsi="Arial"/>
                <w:color w:val="0A1628"/>
                <w:sz w:val="20"/>
                <w:szCs w:val="20"/>
              </w:rPr>
              <w:t xml:space="preserve">PD-RFI (Semi-Digital)</w:t>
            </w:r>
          </w:p>
          <w:p>
            <w:r>
              <w:rPr>
                <w:rFonts w:ascii="Arial" w:cs="Arial" w:eastAsia="Arial" w:hAnsi="Arial"/>
                <w:b/>
                <w:bCs/>
                <w:color w:val="0E8A8A"/>
                <w:sz w:val="20"/>
                <w:szCs w:val="20"/>
              </w:rPr>
              <w:t xml:space="preserve">SSPL PATHWAY: </w:t>
            </w:r>
            <w:r>
              <w:rPr>
                <w:rFonts w:ascii="Arial" w:cs="Arial" w:eastAsia="Arial" w:hAnsi="Arial"/>
                <w:color w:val="0A1628"/>
                <w:sz w:val="20"/>
                <w:szCs w:val="20"/>
              </w:rPr>
              <w:t xml:space="preserve">SSPL Digital Lending Platform (Phase 2)</w:t>
            </w:r>
          </w:p>
          <w:p>
            <w:r>
              <w:rPr>
                <w:rFonts w:ascii="Arial" w:cs="Arial" w:eastAsia="Arial" w:hAnsi="Arial"/>
                <w:b/>
                <w:bCs/>
                <w:color w:val="0E8A8A"/>
                <w:sz w:val="20"/>
                <w:szCs w:val="20"/>
              </w:rPr>
              <w:t xml:space="preserve">RECOMMENDED CBS/VENDOR: </w:t>
            </w:r>
            <w:r>
              <w:rPr>
                <w:rFonts w:ascii="Arial" w:cs="Arial" w:eastAsia="Arial" w:hAnsi="Arial"/>
                <w:color w:val="0A1628"/>
                <w:sz w:val="20"/>
                <w:szCs w:val="20"/>
              </w:rPr>
              <w:t xml:space="preserve">C-Edge LOS Module + Bhulekh API</w:t>
            </w:r>
          </w:p>
          <w:p>
            <w:r>
              <w:rPr>
                <w:rFonts w:ascii="Arial" w:cs="Arial" w:eastAsia="Arial" w:hAnsi="Arial"/>
                <w:b/>
                <w:bCs/>
                <w:color w:val="0A1628"/>
                <w:sz w:val="22"/>
                <w:szCs w:val="22"/>
              </w:rPr>
              <w:t xml:space="preserve">PHASE 1 (Month 0–3): Data Foundation and API Connections</w:t>
            </w:r>
          </w:p>
          <w:p>
            <w:r>
              <w:rPr>
                <w:rFonts w:ascii="Arial" w:cs="Arial" w:eastAsia="Arial" w:hAnsi="Arial"/>
                <w:color w:val="1A1A2E"/>
                <w:sz w:val="20"/>
                <w:szCs w:val="20"/>
              </w:rPr>
              <w:t xml:space="preserve">Step 1: CBS LOS module activation and configuration — DCCB IT + CBS Vendor. Output: Digital KCC application form live in CBS. Duration: 4 weeks. Cost: ₹2–5 lakhs.</w:t>
            </w:r>
          </w:p>
          <w:p>
            <w:r>
              <w:rPr>
                <w:rFonts w:ascii="Arial" w:cs="Arial" w:eastAsia="Arial" w:hAnsi="Arial"/>
                <w:color w:val="1A1A2E"/>
                <w:sz w:val="20"/>
                <w:szCs w:val="20"/>
              </w:rPr>
              <w:t xml:space="preserve">Step 2: Aadhaar eKYC API integration — UIDAI-certified agency through SSPL. Output: eKYC auto-population in LOS. Duration: 3 weeks. Cost: ₹1–2 lakhs + UIDAI transaction fee ₹3–5 per query.</w:t>
            </w:r>
          </w:p>
          <w:p>
            <w:r>
              <w:rPr>
                <w:rFonts w:ascii="Arial" w:cs="Arial" w:eastAsia="Arial" w:hAnsi="Arial"/>
                <w:color w:val="1A1A2E"/>
                <w:sz w:val="20"/>
                <w:szCs w:val="20"/>
              </w:rPr>
              <w:t xml:space="preserve">Step 3: CIBIL / credit bureau API integration — DCCB credit team + CBS vendor. Output: Credit score auto-retrieved for each applicant. Duration: 4 weeks. Cost: ₹50K setup + ₹5–10 per query.</w:t>
            </w:r>
          </w:p>
          <w:p>
            <w:r>
              <w:rPr>
                <w:rFonts w:ascii="Arial" w:cs="Arial" w:eastAsia="Arial" w:hAnsi="Arial"/>
                <w:color w:val="1A1A2E"/>
                <w:sz w:val="20"/>
                <w:szCs w:val="20"/>
              </w:rPr>
              <w:t xml:space="preserve">Step 4: Digital appraisal workflow configuration — branch manager, regional manager approval chain in CBS. Duration: 2 weeks. Cost: ₹0 (CBS configuration).</w:t>
            </w:r>
          </w:p>
          <w:p>
            <w:r>
              <w:rPr>
                <w:rFonts w:ascii="Arial" w:cs="Arial" w:eastAsia="Arial" w:hAnsi="Arial"/>
                <w:b/>
                <w:bCs/>
                <w:color w:val="0E8A8A"/>
                <w:sz w:val="20"/>
                <w:szCs w:val="20"/>
              </w:rPr>
              <w:t xml:space="preserve">PHASE 1 MILESTONE: All new KCC applications on digital form; TAT target 10–12 days.</w:t>
            </w:r>
          </w:p>
          <w:p>
            <w:r>
              <w:rPr>
                <w:rFonts w:ascii="Arial" w:cs="Arial" w:eastAsia="Arial" w:hAnsi="Arial"/>
                <w:b/>
                <w:bCs/>
                <w:color w:val="0A1628"/>
                <w:sz w:val="22"/>
                <w:szCs w:val="22"/>
              </w:rPr>
              <w:t xml:space="preserve">PHASE 2 (Month 3–12): Bhulekh Integration and Appraisal Automation</w:t>
            </w:r>
          </w:p>
          <w:p>
            <w:r>
              <w:rPr>
                <w:rFonts w:ascii="Arial" w:cs="Arial" w:eastAsia="Arial" w:hAnsi="Arial"/>
                <w:color w:val="1A1A2E"/>
                <w:sz w:val="20"/>
                <w:szCs w:val="20"/>
              </w:rPr>
              <w:t xml:space="preserve">Step 5: State Bhulekh API integration (land records) — state government API or SSPL land data connector. Output: Land record auto-retrieved and cross-matched. Duration: 8–12 weeks (state API negotiation). Cost: ₹2–4 lakhs.</w:t>
            </w:r>
          </w:p>
          <w:p>
            <w:r>
              <w:rPr>
                <w:rFonts w:ascii="Arial" w:cs="Arial" w:eastAsia="Arial" w:hAnsi="Arial"/>
                <w:color w:val="1A1A2E"/>
                <w:sz w:val="20"/>
                <w:szCs w:val="20"/>
              </w:rPr>
              <w:t xml:space="preserve">Step 6: PM Kisan API cross-reference for farm size and subsidy history. Duration: 2 weeks. Cost: ₹50K.</w:t>
            </w:r>
          </w:p>
          <w:p>
            <w:r>
              <w:rPr>
                <w:rFonts w:ascii="Arial" w:cs="Arial" w:eastAsia="Arial" w:hAnsi="Arial"/>
                <w:color w:val="1A1A2E"/>
                <w:sz w:val="20"/>
                <w:szCs w:val="20"/>
              </w:rPr>
              <w:t xml:space="preserve">Step 7: PMFBY auto-enrollment module at KCC disbursal — premium auto-deducted. Duration: 3 weeks. Cost: ₹1–2 lakhs.</w:t>
            </w:r>
          </w:p>
          <w:p>
            <w:r>
              <w:rPr>
                <w:rFonts w:ascii="Arial" w:cs="Arial" w:eastAsia="Arial" w:hAnsi="Arial"/>
                <w:b/>
                <w:bCs/>
                <w:color w:val="0E8A8A"/>
                <w:sz w:val="20"/>
                <w:szCs w:val="20"/>
              </w:rPr>
              <w:t xml:space="preserve">PHASE 2 MILESTONE: TAT reduced to 5–7 days; 90%+ PMFBY enrollment at KCC; credit accuracy 75–80%.</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METRIC</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BASELINE</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 PHASE 1</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 PHASE 2</w:t>
            </w:r>
          </w:p>
        </w:tc>
        <w:tc>
          <w:tcPr>
            <w:tcW w:type="dxa" w:w="27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POST PHASE 3</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Loan TAT (days)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14–42</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10–12</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5–7</w:t>
            </w:r>
          </w:p>
        </w:tc>
        <w:tc>
          <w:tcPr>
            <w:tcW w:type="dxa" w:w="2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2–3</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Credit accuracy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67%</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72%</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78%</w:t>
            </w:r>
          </w:p>
        </w:tc>
        <w:tc>
          <w:tcPr>
            <w:tcW w:type="dxa" w:w="2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87%</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Cost per application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₹1,200</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₹700</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₹450</w:t>
            </w:r>
          </w:p>
        </w:tc>
        <w:tc>
          <w:tcPr>
            <w:tcW w:type="dxa" w:w="2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₹250</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PMFBY enrollment at KCC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&lt;40%</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65%</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90%+</w:t>
            </w:r>
          </w:p>
        </w:tc>
        <w:tc>
          <w:tcPr>
            <w:tcW w:type="dxa" w:w="2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98%+</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at 12 months (% of KCC)</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7.5%</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5.5%</w:t>
            </w:r>
          </w:p>
        </w:tc>
        <w:tc>
          <w:tcPr>
            <w:tcW w:type="dxa" w:w="2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Workflow Set C: CBS Implementation / Modernisation (PDC-RFI)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Borders>
              <w:top w:val="single" w:color="0E8A8A" w:sz="8"/>
              <w:left w:val="single" w:color="0E8A8A" w:sz="8"/>
              <w:bottom w:val="single" w:color="0E8A8A" w:sz="8"/>
              <w:right w:val="single" w:color="0E8A8A" w:sz="8"/>
            </w:tcBorders>
            <w:shd w:fill="F5FAFA" w:val="clear"/>
            <w:tcMar>
              <w:top w:type="dxa" w:w="160"/>
              <w:left w:type="dxa" w:w="240"/>
              <w:bottom w:type="dxa" w:w="160"/>
              <w:right w:type="dxa" w:w="240"/>
            </w:tcMar>
          </w:tcPr>
          <w:p>
            <w:r>
              <w:rPr>
                <w:rFonts w:ascii="Arial" w:cs="Arial" w:eastAsia="Arial" w:hAnsi="Arial"/>
                <w:b/>
                <w:bCs/>
                <w:color w:val="0E8A8A"/>
                <w:sz w:val="20"/>
                <w:szCs w:val="20"/>
              </w:rPr>
              <w:t xml:space="preserve">PRODUCT: </w:t>
            </w:r>
            <w:r>
              <w:rPr>
                <w:rFonts w:ascii="Arial" w:cs="Arial" w:eastAsia="Arial" w:hAnsi="Arial"/>
                <w:color w:val="0A1628"/>
                <w:sz w:val="20"/>
                <w:szCs w:val="20"/>
              </w:rPr>
              <w:t xml:space="preserve">Core Banking Solution</w:t>
            </w:r>
          </w:p>
          <w:p>
            <w:r>
              <w:rPr>
                <w:rFonts w:ascii="Arial" w:cs="Arial" w:eastAsia="Arial" w:hAnsi="Arial"/>
                <w:b/>
                <w:bCs/>
                <w:color w:val="0E8A8A"/>
                <w:sz w:val="20"/>
                <w:szCs w:val="20"/>
              </w:rPr>
              <w:t xml:space="preserve">RFI CATEGORY: </w:t>
            </w:r>
            <w:r>
              <w:rPr>
                <w:rFonts w:ascii="Arial" w:cs="Arial" w:eastAsia="Arial" w:hAnsi="Arial"/>
                <w:color w:val="0A1628"/>
                <w:sz w:val="20"/>
                <w:szCs w:val="20"/>
              </w:rPr>
              <w:t xml:space="preserve">PDC-RFI (New Implementation)</w:t>
            </w:r>
          </w:p>
          <w:p>
            <w:r>
              <w:rPr>
                <w:rFonts w:ascii="Arial" w:cs="Arial" w:eastAsia="Arial" w:hAnsi="Arial"/>
                <w:b/>
                <w:bCs/>
                <w:color w:val="0E8A8A"/>
                <w:sz w:val="20"/>
                <w:szCs w:val="20"/>
              </w:rPr>
              <w:t xml:space="preserve">SSPL PATHWAY: </w:t>
            </w:r>
            <w:r>
              <w:rPr>
                <w:rFonts w:ascii="Arial" w:cs="Arial" w:eastAsia="Arial" w:hAnsi="Arial"/>
                <w:color w:val="0A1628"/>
                <w:sz w:val="20"/>
                <w:szCs w:val="20"/>
              </w:rPr>
              <w:t xml:space="preserve">SSPL Hosted CBS SaaS</w:t>
            </w:r>
          </w:p>
          <w:p>
            <w:r>
              <w:rPr>
                <w:rFonts w:ascii="Arial" w:cs="Arial" w:eastAsia="Arial" w:hAnsi="Arial"/>
                <w:b/>
                <w:bCs/>
                <w:color w:val="0E8A8A"/>
                <w:sz w:val="20"/>
                <w:szCs w:val="20"/>
              </w:rPr>
              <w:t xml:space="preserve">RECOMMENDED CBS/VENDOR: </w:t>
            </w:r>
            <w:r>
              <w:rPr>
                <w:rFonts w:ascii="Arial" w:cs="Arial" w:eastAsia="Arial" w:hAnsi="Arial"/>
                <w:color w:val="0A1628"/>
                <w:sz w:val="20"/>
                <w:szCs w:val="20"/>
              </w:rPr>
              <w:t xml:space="preserve">TrustBankCBS or Virmati (₹15–35 lakhs)</w:t>
            </w:r>
          </w:p>
          <w:p>
            <w:r>
              <w:rPr>
                <w:rFonts w:ascii="Arial" w:cs="Arial" w:eastAsia="Arial" w:hAnsi="Arial"/>
                <w:b/>
                <w:bCs/>
                <w:color w:val="0A1628"/>
                <w:sz w:val="22"/>
                <w:szCs w:val="22"/>
              </w:rPr>
              <w:t xml:space="preserve">PHASE 1 (Month 0–6): CBS Selection, Setup, and HQ Go-Live</w:t>
            </w:r>
          </w:p>
          <w:p>
            <w:r>
              <w:rPr>
                <w:rFonts w:ascii="Arial" w:cs="Arial" w:eastAsia="Arial" w:hAnsi="Arial"/>
                <w:color w:val="1A1A2E"/>
                <w:sz w:val="20"/>
                <w:szCs w:val="20"/>
              </w:rPr>
              <w:t xml:space="preserve">Step 1: CBS vendor selection — DCCB Board approval of vendor. Issue RFP; evaluate TrustBankCBS, Virmati, C-Edge, SSPL SaaS. Output: Signed vendor contract. Duration: 4–6 weeks. Cost: ₹0 (RFP process managed by SSPL advisory team).</w:t>
            </w:r>
          </w:p>
          <w:p>
            <w:r>
              <w:rPr>
                <w:rFonts w:ascii="Arial" w:cs="Arial" w:eastAsia="Arial" w:hAnsi="Arial"/>
                <w:color w:val="1A1A2E"/>
                <w:sz w:val="20"/>
                <w:szCs w:val="20"/>
              </w:rPr>
              <w:t xml:space="preserve">Step 2: Infrastructure provisioning — server, UPS, LAN, VSAT/broadband connectivity at HQ and all branches. Responsible: DCCB + IT vendor. Duration: 8 weeks. Cost: ₹5–15 lakhs (hardware + connectivity).</w:t>
            </w:r>
          </w:p>
          <w:p>
            <w:r>
              <w:rPr>
                <w:rFonts w:ascii="Arial" w:cs="Arial" w:eastAsia="Arial" w:hAnsi="Arial"/>
                <w:color w:val="1A1A2E"/>
                <w:sz w:val="20"/>
                <w:szCs w:val="20"/>
              </w:rPr>
              <w:t xml:space="preserve">Step 3: CBS configuration — account types, loan products, interest rates, PACS sub-accounts, GL codes, RBI reporting templates. Responsible: CBS Vendor Team. Duration: 6–8 weeks. Cost: Included in CBS licence.</w:t>
            </w:r>
          </w:p>
          <w:p>
            <w:r>
              <w:rPr>
                <w:rFonts w:ascii="Arial" w:cs="Arial" w:eastAsia="Arial" w:hAnsi="Arial"/>
                <w:color w:val="1A1A2E"/>
                <w:sz w:val="20"/>
                <w:szCs w:val="20"/>
              </w:rPr>
              <w:t xml:space="preserve">Step 4: Data migration — historical account data from legacy system or manual records converted to CBS format. Responsible: CBS Vendor + DCCB data team. Duration: 4 weeks. Cost: ₹2–3 lakhs.</w:t>
            </w:r>
          </w:p>
          <w:p>
            <w:r>
              <w:rPr>
                <w:rFonts w:ascii="Arial" w:cs="Arial" w:eastAsia="Arial" w:hAnsi="Arial"/>
                <w:color w:val="1A1A2E"/>
                <w:sz w:val="20"/>
                <w:szCs w:val="20"/>
              </w:rPr>
              <w:t xml:space="preserve">Step 5: Staff training — all branch staff on CBS operation (teller, officer, manager roles). Duration: 2 weeks. Cost: ₹2–4 lakhs.</w:t>
            </w:r>
          </w:p>
          <w:p>
            <w:r>
              <w:rPr>
                <w:rFonts w:ascii="Arial" w:cs="Arial" w:eastAsia="Arial" w:hAnsi="Arial"/>
                <w:color w:val="1A1A2E"/>
                <w:sz w:val="20"/>
                <w:szCs w:val="20"/>
              </w:rPr>
              <w:t xml:space="preserve">Step 6: HQ branch parallel run — both manual and CBS for 2 weeks; validate all postings. Output: Zero discrepancy certificate. Duration: 2 weeks. Responsible: DCCB IT Officer + Vendor.</w:t>
            </w:r>
          </w:p>
          <w:p>
            <w:r>
              <w:rPr>
                <w:rFonts w:ascii="Arial" w:cs="Arial" w:eastAsia="Arial" w:hAnsi="Arial"/>
                <w:b/>
                <w:bCs/>
                <w:color w:val="0E8A8A"/>
                <w:sz w:val="20"/>
                <w:szCs w:val="20"/>
              </w:rPr>
              <w:t xml:space="preserve">PHASE 1 MILESTONE: HQ fully live on CBS; all daily transactions posting correctly; RBI audit-ready.</w:t>
            </w:r>
          </w:p>
          <w:p>
            <w:r>
              <w:rPr>
                <w:rFonts w:ascii="Arial" w:cs="Arial" w:eastAsia="Arial" w:hAnsi="Arial"/>
                <w:b/>
                <w:bCs/>
                <w:color w:val="0A1628"/>
                <w:sz w:val="22"/>
                <w:szCs w:val="22"/>
              </w:rPr>
              <w:t xml:space="preserve">PHASE 2 (Month 6–18): All Branch Roll-Out and Aadhaar eKYC</w:t>
            </w:r>
          </w:p>
          <w:p>
            <w:r>
              <w:rPr>
                <w:rFonts w:ascii="Arial" w:cs="Arial" w:eastAsia="Arial" w:hAnsi="Arial"/>
                <w:color w:val="1A1A2E"/>
                <w:sz w:val="20"/>
                <w:szCs w:val="20"/>
              </w:rPr>
              <w:t xml:space="preserve">Step 7: Branch connectivity — VSAT or broadband at each branch; test before CBS deployment. Responsible: BSNL/commercial ISP + DCCB. Duration: 12 weeks (all branches). Cost: ₹8–15 lakhs.</w:t>
            </w:r>
          </w:p>
          <w:p>
            <w:r>
              <w:rPr>
                <w:rFonts w:ascii="Arial" w:cs="Arial" w:eastAsia="Arial" w:hAnsi="Arial"/>
                <w:color w:val="1A1A2E"/>
                <w:sz w:val="20"/>
                <w:szCs w:val="20"/>
              </w:rPr>
              <w:t xml:space="preserve">Step 8: Branch CBS go-live — rolling deployment, 3–5 branches per week. Output: 100% branches live. Duration: 6–8 weeks. Responsible: Vendor team rotating across branches.</w:t>
            </w:r>
          </w:p>
          <w:p>
            <w:r>
              <w:rPr>
                <w:rFonts w:ascii="Arial" w:cs="Arial" w:eastAsia="Arial" w:hAnsi="Arial"/>
                <w:color w:val="1A1A2E"/>
                <w:sz w:val="20"/>
                <w:szCs w:val="20"/>
              </w:rPr>
              <w:t xml:space="preserve">Step 9: Aadhaar eKYC terminal deployment — biometric device at each branch; UIDAI API access via CBS. Duration: 4 weeks. Cost: ₹50K–1 lakh per branch.</w:t>
            </w:r>
          </w:p>
          <w:p>
            <w:r>
              <w:rPr>
                <w:rFonts w:ascii="Arial" w:cs="Arial" w:eastAsia="Arial" w:hAnsi="Arial"/>
                <w:b/>
                <w:bCs/>
                <w:color w:val="0E8A8A"/>
                <w:sz w:val="20"/>
                <w:szCs w:val="20"/>
              </w:rPr>
              <w:t xml:space="preserve">PHASE 2 MILESTONE: 100% branches on CBS; Aadhaar eKYC live; RuPay card issuance commenced.</w:t>
            </w:r>
          </w:p>
        </w:tc>
      </w:tr>
    </w:tbl>
    <w:p>
      <w:pPr>
        <w:spacing w:after="80" w:before="80"/>
      </w:pPr>
      <w:r>
        <w:t xml:space="preserve"/>
      </w:r>
    </w:p>
    <w:tbl>
      <w:tblPr>
        <w:tblW w:type="dxa" w:w="9454"/>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1750"/>
        <w:gridCol w:w="240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METRIC</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BASELINE</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PHASE 1 COMPLETE</w:t>
            </w:r>
          </w:p>
        </w:tc>
        <w:tc>
          <w:tcPr>
            <w:tcW w:type="dxa" w:w="175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PHASE 2 COMPLETE</w:t>
            </w:r>
          </w:p>
        </w:tc>
        <w:tc>
          <w:tcPr>
            <w:tcW w:type="dxa" w:w="240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PHASE 3 (PD-RFI STATUS)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Branches on CBS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0–30%</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100% HQ</w:t>
            </w:r>
          </w:p>
        </w:tc>
        <w:tc>
          <w:tcPr>
            <w:tcW w:type="dxa" w:w="175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100% all branches</w:t>
            </w:r>
          </w:p>
        </w:tc>
        <w:tc>
          <w:tcPr>
            <w:tcW w:type="dxa" w:w="240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100% with API</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Aadhaar eKYC capability</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None</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HQ only</w:t>
            </w:r>
          </w:p>
        </w:tc>
        <w:tc>
          <w:tcPr>
            <w:tcW w:type="dxa" w:w="175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branches</w:t>
            </w:r>
          </w:p>
        </w:tc>
        <w:tc>
          <w:tcPr>
            <w:tcW w:type="dxa" w:w="240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branches + PACS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Compliance report TAT (days)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63+</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w:t>
            </w:r>
          </w:p>
        </w:tc>
        <w:tc>
          <w:tcPr>
            <w:tcW w:type="dxa" w:w="175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w:t>
            </w:r>
          </w:p>
        </w:tc>
        <w:tc>
          <w:tcPr>
            <w:tcW w:type="dxa" w:w="240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Data entry errors per 1,000 txns</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15–25</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8–12</w:t>
            </w:r>
          </w:p>
        </w:tc>
        <w:tc>
          <w:tcPr>
            <w:tcW w:type="dxa" w:w="175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w:t>
            </w:r>
          </w:p>
        </w:tc>
        <w:tc>
          <w:tcPr>
            <w:tcW w:type="dxa" w:w="240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&lt;2</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 audit preparation (hrs)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40–60</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25–30</w:t>
            </w:r>
          </w:p>
        </w:tc>
        <w:tc>
          <w:tcPr>
            <w:tcW w:type="dxa" w:w="175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10–15</w:t>
            </w:r>
          </w:p>
        </w:tc>
        <w:tc>
          <w:tcPr>
            <w:tcW w:type="dxa" w:w="240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4–6</w:t>
            </w:r>
          </w:p>
        </w:tc>
      </w:tr>
    </w:tbl>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IV</w:t>
            </w:r>
          </w:p>
          <w:p>
            <w:pPr>
              <w:jc w:val="center"/>
            </w:pPr>
            <w:r>
              <w:rPr>
                <w:rFonts w:ascii="Arial" w:cs="Arial" w:eastAsia="Arial" w:hAnsi="Arial"/>
                <w:b/>
                <w:bCs/>
                <w:color w:val="FFFFFF"/>
                <w:sz w:val="28"/>
                <w:szCs w:val="28"/>
              </w:rPr>
              <w:t xml:space="preserve">Client Effectiveness and Remote Area Analysis</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5: Is Digitalization Genuinely Effective for Rural Clients?</w:t>
      </w:r>
    </w:p>
    <w:p>
      <w:pPr>
        <w:spacing w:after="100" w:before="80" w:line="276" w:lineRule="auto"/>
        <w:jc w:val="both"/>
      </w:pPr>
      <w:r>
        <w:rPr>
          <w:rFonts w:ascii="Arial" w:cs="Arial" w:eastAsia="Arial" w:hAnsi="Arial"/>
          <w:b w:val="false"/>
          <w:bCs w:val="false"/>
          <w:i w:val="false"/>
          <w:iCs w:val="false"/>
          <w:color w:val="1A1A2E"/>
          <w:sz w:val="22"/>
          <w:szCs w:val="22"/>
        </w:rPr>
        <w:t xml:space="preserve">The most important — and most frequently evaded — question in rural banking digitalisation is whether technology-led banking transformation actually improves outcomes for the farmer, SHG member, and rural household at the end of the value chain, or whether it primarily benefits the institution's operational efficiency while leaving the client experience unchanged or degraded. This section provides an evidence-based answer, differentiated by client segment and geographic scenario.</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5.1 Client Segmentation Framework</w:t>
      </w:r>
    </w:p>
    <w:p>
      <w:pPr>
        <w:pStyle w:val="Heading3"/>
        <w:spacing w:after="80" w:before="200"/>
      </w:pPr>
      <w:r>
        <w:rPr>
          <w:rFonts w:ascii="Arial" w:cs="Arial" w:eastAsia="Arial" w:hAnsi="Arial"/>
          <w:b/>
          <w:bCs/>
          <w:color w:val="0A1628"/>
          <w:sz w:val="26"/>
          <w:szCs w:val="26"/>
        </w:rPr>
        <w:t xml:space="preserve">Segment A — Digital Ready (~25–30% of DCCB Client Base)</w:t>
      </w:r>
    </w:p>
    <w:p>
      <w:pPr>
        <w:spacing w:after="100" w:before="80" w:line="276" w:lineRule="auto"/>
        <w:jc w:val="both"/>
      </w:pPr>
      <w:r>
        <w:rPr>
          <w:rFonts w:ascii="Arial" w:cs="Arial" w:eastAsia="Arial" w:hAnsi="Arial"/>
          <w:b w:val="false"/>
          <w:bCs w:val="false"/>
          <w:i w:val="false"/>
          <w:iCs w:val="false"/>
          <w:color w:val="1A1A2E"/>
          <w:sz w:val="22"/>
          <w:szCs w:val="22"/>
        </w:rPr>
        <w:t xml:space="preserve">Segment A clients are farmers and rural households aged 18–45 who own smartphones, actively use UPI for daily purchases, live in peri-urban or progressive rural areas, and possess sufficient digital literacy to independently navigate banking applications. They are concentrated in Punjab, Haryana, Gujarat, Maharashtra (except tribal districts), Karnataka (southern), Andhra Pradesh, and Telangana.</w:t>
      </w:r>
    </w:p>
    <w:p>
      <w:pPr>
        <w:spacing w:after="100" w:before="80" w:line="276" w:lineRule="auto"/>
        <w:jc w:val="both"/>
      </w:pPr>
      <w:r>
        <w:rPr>
          <w:rFonts w:ascii="Arial" w:cs="Arial" w:eastAsia="Arial" w:hAnsi="Arial"/>
          <w:b w:val="false"/>
          <w:bCs w:val="false"/>
          <w:i w:val="false"/>
          <w:iCs w:val="false"/>
          <w:color w:val="1A1A2E"/>
          <w:sz w:val="22"/>
          <w:szCs w:val="22"/>
        </w:rPr>
        <w:t xml:space="preserve">The evidence of this segment's digital readiness is compelling: YONO opened 64% of all regular savings bank accounts in FY25 nationally — this penetration is heavily driven by Segment A clients. UPI penetration is reaching Tier 3 towns, with NPCI reporting over 400 million unique UPI users. NACH e-mandate acceptance is rising among this segment. For Segment A, the full mobile banking product stack — app, UPI, digital KCC renewal, PMFBY digital enrollment, WhatsApp banking, and insurance distribution — is immediately deployable and will achieve adoption rates comparable to commercial banking channels.</w:t>
      </w:r>
    </w:p>
    <w:p>
      <w:pPr>
        <w:pStyle w:val="ListParagraph"/>
        <w:numPr>
          <w:ilvl w:val="0"/>
          <w:numId w:val="2"/>
        </w:numPr>
        <w:spacing w:after="40" w:before="40" w:line="276" w:lineRule="auto"/>
      </w:pPr>
      <w:r>
        <w:rPr>
          <w:rFonts w:ascii="Arial" w:cs="Arial" w:eastAsia="Arial" w:hAnsi="Arial"/>
          <w:color w:val="1A1A2E"/>
          <w:sz w:val="22"/>
          <w:szCs w:val="22"/>
        </w:rPr>
        <w:t xml:space="preserve">Products independently adoptable: Full mobile app, UPI, digital KCC, PMFBY enrollment, WhatsApp banking, RuPay + mPOS, BBPS</w:t>
      </w:r>
    </w:p>
    <w:p>
      <w:pPr>
        <w:pStyle w:val="ListParagraph"/>
        <w:numPr>
          <w:ilvl w:val="0"/>
          <w:numId w:val="2"/>
        </w:numPr>
        <w:spacing w:after="40" w:before="40" w:line="276" w:lineRule="auto"/>
      </w:pPr>
      <w:r>
        <w:rPr>
          <w:rFonts w:ascii="Arial" w:cs="Arial" w:eastAsia="Arial" w:hAnsi="Arial"/>
          <w:color w:val="1A1A2E"/>
          <w:sz w:val="22"/>
          <w:szCs w:val="22"/>
        </w:rPr>
        <w:t xml:space="preserve">Key DCCB action: Ensure digital channels are available; quality of mobile app and UPI reliability is the competitive factor vs. commercial bank apps</w:t>
      </w:r>
    </w:p>
    <w:p>
      <w:pPr>
        <w:pStyle w:val="ListParagraph"/>
        <w:numPr>
          <w:ilvl w:val="0"/>
          <w:numId w:val="2"/>
        </w:numPr>
        <w:spacing w:after="40" w:before="40" w:line="276" w:lineRule="auto"/>
      </w:pPr>
      <w:r>
        <w:rPr>
          <w:rFonts w:ascii="Arial" w:cs="Arial" w:eastAsia="Arial" w:hAnsi="Arial"/>
          <w:color w:val="1A1A2E"/>
          <w:sz w:val="22"/>
          <w:szCs w:val="22"/>
        </w:rPr>
        <w:t xml:space="preserve">Revenue opportunity: This segment generates the highest fee income, BBPS volume, and digital transaction revenue per customer</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Segment B — Assisted Digital (~40–45% of Client Base)</w:t>
      </w:r>
    </w:p>
    <w:p>
      <w:pPr>
        <w:spacing w:after="100" w:before="80" w:line="276" w:lineRule="auto"/>
        <w:jc w:val="both"/>
      </w:pPr>
      <w:r>
        <w:rPr>
          <w:rFonts w:ascii="Arial" w:cs="Arial" w:eastAsia="Arial" w:hAnsi="Arial"/>
          <w:b w:val="false"/>
          <w:bCs w:val="false"/>
          <w:i w:val="false"/>
          <w:iCs w:val="false"/>
          <w:color w:val="1A1A2E"/>
          <w:sz w:val="22"/>
          <w:szCs w:val="22"/>
        </w:rPr>
        <w:t xml:space="preserve">Segment B clients are not independently digital but can access digital banking products with facilitation by a family member, PACS BC agent, or branch staff. They own feature phones (basic call + SMS capability), are literate but not tech-confident, and are typically aged 35–60. They represent the majority of the DCCB's active KCC borrower base and are the critical target for the BC agent model.</w:t>
      </w:r>
    </w:p>
    <w:p>
      <w:pPr>
        <w:spacing w:after="100" w:before="80" w:line="276" w:lineRule="auto"/>
        <w:jc w:val="both"/>
      </w:pPr>
      <w:r>
        <w:rPr>
          <w:rFonts w:ascii="Arial" w:cs="Arial" w:eastAsia="Arial" w:hAnsi="Arial"/>
          <w:b w:val="false"/>
          <w:bCs w:val="false"/>
          <w:i w:val="false"/>
          <w:iCs w:val="false"/>
          <w:color w:val="1A1A2E"/>
          <w:sz w:val="22"/>
          <w:szCs w:val="22"/>
        </w:rPr>
        <w:t xml:space="preserve">For Segment B, the BC agent is not an optional distribution efficiency tool — it is the essential human infrastructure that makes digital banking real. Without a viable, active BC agent network, Segment B clients remain effectively outside the digital banking ecosystem despite having bank accounts.</w:t>
      </w:r>
    </w:p>
    <w:p>
      <w:pPr>
        <w:pStyle w:val="Heading4"/>
        <w:spacing w:after="60" w:before="160"/>
      </w:pPr>
      <w:r>
        <w:rPr>
          <w:rFonts w:ascii="Arial" w:cs="Arial" w:eastAsia="Arial" w:hAnsi="Arial"/>
          <w:b/>
          <w:bCs/>
          <w:i/>
          <w:iCs/>
          <w:color w:val="0E8A8A"/>
          <w:sz w:val="24"/>
          <w:szCs w:val="24"/>
        </w:rPr>
        <w:t xml:space="preserve">Complete BC Agent Economic Model:</w:t>
      </w:r>
    </w:p>
    <w:p>
      <w:pPr>
        <w:pStyle w:val="ListParagraph"/>
        <w:numPr>
          <w:ilvl w:val="0"/>
          <w:numId w:val="2"/>
        </w:numPr>
        <w:spacing w:after="40" w:before="40" w:line="276" w:lineRule="auto"/>
      </w:pPr>
      <w:r>
        <w:rPr>
          <w:rFonts w:ascii="Arial" w:cs="Arial" w:eastAsia="Arial" w:hAnsi="Arial"/>
          <w:color w:val="1A1A2E"/>
          <w:sz w:val="22"/>
          <w:szCs w:val="22"/>
        </w:rPr>
        <w:t xml:space="preserve">Device requirements: Smartphone (₹8,000–12,000) + micro-ATM dongle (₹5,000–8,000) + AePS-enabled BC app (SSPL or C-Edge BC app — ₹0, bank-provided)</w:t>
      </w:r>
    </w:p>
    <w:p>
      <w:pPr>
        <w:pStyle w:val="ListParagraph"/>
        <w:numPr>
          <w:ilvl w:val="0"/>
          <w:numId w:val="2"/>
        </w:numPr>
        <w:spacing w:after="40" w:before="40" w:line="276" w:lineRule="auto"/>
      </w:pPr>
      <w:r>
        <w:rPr>
          <w:rFonts w:ascii="Arial" w:cs="Arial" w:eastAsia="Arial" w:hAnsi="Arial"/>
          <w:color w:val="1A1A2E"/>
          <w:sz w:val="22"/>
          <w:szCs w:val="22"/>
        </w:rPr>
        <w:t xml:space="preserve">NABARD-sponsored training: 3-day BC certification course, ₹5,000–10,000 cost (often subsidised by NABARD BC programme)</w:t>
      </w:r>
    </w:p>
    <w:p>
      <w:pPr>
        <w:pStyle w:val="ListParagraph"/>
        <w:numPr>
          <w:ilvl w:val="0"/>
          <w:numId w:val="2"/>
        </w:numPr>
        <w:spacing w:after="40" w:before="40" w:line="276" w:lineRule="auto"/>
      </w:pPr>
      <w:r>
        <w:rPr>
          <w:rFonts w:ascii="Arial" w:cs="Arial" w:eastAsia="Arial" w:hAnsi="Arial"/>
          <w:color w:val="1A1A2E"/>
          <w:sz w:val="22"/>
          <w:szCs w:val="22"/>
        </w:rPr>
        <w:t xml:space="preserve">Commission structure: AePS ₹1–2/txn, BBPS ₹3–5/txn, account opening ₹50–100, KCC application ₹100–200, PMFBY enrollment ₹50, RuPay card delivery ₹20–30</w:t>
      </w:r>
    </w:p>
    <w:p>
      <w:pPr>
        <w:pStyle w:val="ListParagraph"/>
        <w:numPr>
          <w:ilvl w:val="0"/>
          <w:numId w:val="2"/>
        </w:numPr>
        <w:spacing w:after="40" w:before="40" w:line="276" w:lineRule="auto"/>
      </w:pPr>
      <w:r>
        <w:rPr>
          <w:rFonts w:ascii="Arial" w:cs="Arial" w:eastAsia="Arial" w:hAnsi="Arial"/>
          <w:color w:val="1A1A2E"/>
          <w:sz w:val="22"/>
          <w:szCs w:val="22"/>
        </w:rPr>
        <w:t xml:space="preserve">Monthly income potential (active BC with 100 daily transactions): ₹8,000–18,000/month — viable rural livelihood at village level</w:t>
      </w:r>
    </w:p>
    <w:p>
      <w:pPr>
        <w:pStyle w:val="ListParagraph"/>
        <w:numPr>
          <w:ilvl w:val="0"/>
          <w:numId w:val="2"/>
        </w:numPr>
        <w:spacing w:after="40" w:before="40" w:line="276" w:lineRule="auto"/>
      </w:pPr>
      <w:r>
        <w:rPr>
          <w:rFonts w:ascii="Arial" w:cs="Arial" w:eastAsia="Arial" w:hAnsi="Arial"/>
          <w:color w:val="1A1A2E"/>
          <w:sz w:val="22"/>
          <w:szCs w:val="22"/>
        </w:rPr>
        <w:t xml:space="preserve">DCCB obligation: device subsidy (₹5,000–8,000), first-year commission advance, monthly performance tracking, refresher training twice yearly</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Segment C — Digital Excluded (~25–30% of Client Base)</w:t>
      </w:r>
    </w:p>
    <w:p>
      <w:pPr>
        <w:spacing w:after="100" w:before="80" w:line="276" w:lineRule="auto"/>
        <w:jc w:val="both"/>
      </w:pPr>
      <w:r>
        <w:rPr>
          <w:rFonts w:ascii="Arial" w:cs="Arial" w:eastAsia="Arial" w:hAnsi="Arial"/>
          <w:b w:val="false"/>
          <w:bCs w:val="false"/>
          <w:i w:val="false"/>
          <w:iCs w:val="false"/>
          <w:color w:val="1A1A2E"/>
          <w:sz w:val="22"/>
          <w:szCs w:val="22"/>
        </w:rPr>
        <w:t xml:space="preserve">Segment C includes elderly farmers (70+ years), women with restricted mobility in conservative geographies, tribal and forest-dwelling communities in Chhattisgarh, Jharkhand, and Northeast India, landless agricultural labourers with irregular income, and extremely low-literacy clients in remote areas. For this segment, direct digital product deployment is not appropriate — and forcing it produces the documented outcome of dormant accounts and abandoned digital channels.</w:t>
      </w:r>
    </w:p>
    <w:p>
      <w:pPr>
        <w:spacing w:after="100" w:before="80" w:line="276" w:lineRule="auto"/>
        <w:jc w:val="both"/>
      </w:pPr>
      <w:r>
        <w:rPr>
          <w:rFonts w:ascii="Arial" w:cs="Arial" w:eastAsia="Arial" w:hAnsi="Arial"/>
          <w:b w:val="false"/>
          <w:bCs w:val="false"/>
          <w:i w:val="false"/>
          <w:iCs w:val="false"/>
          <w:color w:val="1A1A2E"/>
          <w:sz w:val="22"/>
          <w:szCs w:val="22"/>
        </w:rPr>
        <w:t xml:space="preserve">What genuinely works for Segment C is the phygital model — human intermediary as the digital interface. AePS cash-out at the BC agent's doorstep requires zero literacy (biometric fingerprint is the credential); PMJDY zero-balance account maintenance is automatic (no client action required); PMFBY auto-enrolment at KCC disbursal requires no digital interaction from the farmer; DBT (Direct Benefit Transfer) payments arrive in the account automatically from government programmes; missed-call banking provides balance confirmation with a single phone call at zero charge.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0E8A8A" w:sz="20"/>
              <w:bottom w:val="none" w:color="FFFFFF" w:sz="0"/>
              <w:right w:val="none" w:color="FFFFFF" w:sz="0"/>
            </w:tcBorders>
            <w:shd w:fill="F0F8F8" w:val="clear"/>
            <w:tcMar>
              <w:top w:type="dxa" w:w="120"/>
              <w:left w:type="dxa" w:w="240"/>
              <w:bottom w:type="dxa" w:w="120"/>
              <w:right w:type="dxa" w:w="120"/>
            </w:tcMar>
          </w:tcPr>
          <w:p>
            <w:pPr>
              <w:spacing w:after="0" w:before="0"/>
            </w:pPr>
            <w:r>
              <w:rPr>
                <w:rFonts w:ascii="Arial" w:cs="Arial" w:eastAsia="Arial" w:hAnsi="Arial"/>
                <w:i/>
                <w:iCs/>
                <w:color w:val="1A3A50"/>
                <w:sz w:val="20"/>
                <w:szCs w:val="20"/>
              </w:rPr>
              <w:t xml:space="preserve">Critical SSPL recommendation for Segment C: Do not measure digital success by app downloads or UPI transactions in Segment C geographies. Measure it by: percentage of Segment C clients receiving DBT payments without intermediary; AePS cash-out availability within 2 km of every household; PMFBY enrolment rate at KCC; zero-balance account dormancy rate reduction.</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5.2 Remote Area Profitability — Three Scenarios</w:t>
      </w:r>
    </w:p>
    <w:p>
      <w:pPr>
        <w:pStyle w:val="Heading3"/>
        <w:spacing w:after="80" w:before="200"/>
      </w:pPr>
      <w:r>
        <w:rPr>
          <w:rFonts w:ascii="Arial" w:cs="Arial" w:eastAsia="Arial" w:hAnsi="Arial"/>
          <w:b/>
          <w:bCs/>
          <w:color w:val="0A1628"/>
          <w:sz w:val="26"/>
          <w:szCs w:val="26"/>
        </w:rPr>
        <w:t xml:space="preserve">Scenario R1: Remote but Potentially Profitable</w:t>
      </w:r>
    </w:p>
    <w:p>
      <w:pPr>
        <w:spacing w:after="100" w:before="80" w:line="276" w:lineRule="auto"/>
        <w:jc w:val="both"/>
      </w:pPr>
      <w:r>
        <w:rPr>
          <w:rFonts w:ascii="Arial" w:cs="Arial" w:eastAsia="Arial" w:hAnsi="Arial"/>
          <w:b w:val="false"/>
          <w:bCs w:val="false"/>
          <w:i w:val="false"/>
          <w:iCs w:val="false"/>
          <w:color w:val="1A1A2E"/>
          <w:sz w:val="22"/>
          <w:szCs w:val="22"/>
        </w:rPr>
        <w:t xml:space="preserve">These are geographies that are physically distant from commercial banking infrastructure but have high agricultural productivity, significant loan volumes, and a population with sufficient economic activity to justify digital infrastructure investment. Examples: Vidarbha in Maharashtra (cotton and soybean belt with average KCC loan of ₹1–3 lakhs per farmer); coastal Odisha (paddy and aquaculture belt with growing commercial activity); eastern Uttar Pradesh (sugarcane belt with sugar mill payment flows creating predictable farmer income); and western Rajasthan (oilseed and pulses belt with growing FPO activity).</w:t>
      </w:r>
    </w:p>
    <w:p>
      <w:pPr>
        <w:spacing w:after="100" w:before="80" w:line="276" w:lineRule="auto"/>
        <w:jc w:val="both"/>
      </w:pPr>
      <w:r>
        <w:rPr>
          <w:rFonts w:ascii="Arial" w:cs="Arial" w:eastAsia="Arial" w:hAnsi="Arial"/>
          <w:b w:val="false"/>
          <w:bCs w:val="false"/>
          <w:i w:val="false"/>
          <w:iCs w:val="false"/>
          <w:color w:val="1A1A2E"/>
          <w:sz w:val="22"/>
          <w:szCs w:val="22"/>
        </w:rPr>
        <w:t xml:space="preserve">For Scenario R1 DCCBs, the ROI calculation strongly favours digital investment. A TAT reduction from 30 days to 5 days on a 10,000-loan KCC portfolio means 25 fewer lending days of interest revenue per loan — at 7% interest, that is ₹5,800 per loan, multiplied by 10,000 loans = ₹5.8 crore in additional annual interest income from faster disbursement alone. The NPA reduction (20–25% from EWS deployment) on a ₹500-crore loan book at 9% NPA ratio means ₹11–14 crore in avoided provisioning. Digital investment of ₹50–75 lakhs achieves break-even within 12 months.</w:t>
      </w:r>
    </w:p>
    <w:p>
      <w:pPr>
        <w:pStyle w:val="Heading3"/>
        <w:spacing w:after="80" w:before="200"/>
      </w:pPr>
      <w:r>
        <w:rPr>
          <w:rFonts w:ascii="Arial" w:cs="Arial" w:eastAsia="Arial" w:hAnsi="Arial"/>
          <w:b/>
          <w:bCs/>
          <w:color w:val="0A1628"/>
          <w:sz w:val="26"/>
          <w:szCs w:val="26"/>
        </w:rPr>
        <w:t xml:space="preserve">Scenario R2: Remote and Borderline Profitable</w:t>
      </w:r>
    </w:p>
    <w:p>
      <w:pPr>
        <w:spacing w:after="100" w:before="80" w:line="276" w:lineRule="auto"/>
        <w:jc w:val="both"/>
      </w:pPr>
      <w:r>
        <w:rPr>
          <w:rFonts w:ascii="Arial" w:cs="Arial" w:eastAsia="Arial" w:hAnsi="Arial"/>
          <w:b w:val="false"/>
          <w:bCs w:val="false"/>
          <w:i w:val="false"/>
          <w:iCs w:val="false"/>
          <w:color w:val="1A1A2E"/>
          <w:sz w:val="22"/>
          <w:szCs w:val="22"/>
        </w:rPr>
        <w:t xml:space="preserve">These geographies have meaningful agricultural activity but smaller loan volumes, lower smartphone penetration (25–40%), and infrastructure constraints that increase implementation cost. Examples: Jharkhand tribal districts (Khunti, Simdega); Chhattisgarh (non-Raipur divisions); Nagaland and Mizoram (NABARD FY25 disbursements of ₹33 crore and ₹12.60 crore respectively — small scale indicating nascent credit infrastructure).</w:t>
      </w:r>
    </w:p>
    <w:p>
      <w:pPr>
        <w:spacing w:after="100" w:before="80" w:line="276" w:lineRule="auto"/>
        <w:jc w:val="both"/>
      </w:pPr>
      <w:r>
        <w:rPr>
          <w:rFonts w:ascii="Arial" w:cs="Arial" w:eastAsia="Arial" w:hAnsi="Arial"/>
          <w:b w:val="false"/>
          <w:bCs w:val="false"/>
          <w:i w:val="false"/>
          <w:iCs w:val="false"/>
          <w:color w:val="1A1A2E"/>
          <w:sz w:val="22"/>
          <w:szCs w:val="22"/>
        </w:rPr>
        <w:t xml:space="preserve">For Scenario R2, the recommendation is differentiated: internal operations digitalisation (CBS, compliance engine, MIS, HRMS) is clearly profitable and should proceed without hesitation. Customer-facing digital is borderline — the BC model with AePS is the right approach, generating sufficient commission income to cover BC deployment costs. Full mobile banking ROI may take 5–7 years to materialise as smartphone penetration grows. SSPL should pursue these geographies with realistic 5-year timelines and infrastructure advocacy with BharatNet.</w:t>
      </w:r>
    </w:p>
    <w:p>
      <w:pPr>
        <w:pStyle w:val="Heading3"/>
        <w:spacing w:after="80" w:before="200"/>
      </w:pPr>
      <w:r>
        <w:rPr>
          <w:rFonts w:ascii="Arial" w:cs="Arial" w:eastAsia="Arial" w:hAnsi="Arial"/>
          <w:b/>
          <w:bCs/>
          <w:color w:val="0A1628"/>
          <w:sz w:val="26"/>
          <w:szCs w:val="26"/>
        </w:rPr>
        <w:t xml:space="preserve">Scenario R3: Remote and Not Currently Profitable for Customer-Facing Digital</w:t>
      </w:r>
    </w:p>
    <w:p>
      <w:pPr>
        <w:spacing w:after="100" w:before="80" w:line="276" w:lineRule="auto"/>
        <w:jc w:val="both"/>
      </w:pPr>
      <w:r>
        <w:rPr>
          <w:rFonts w:ascii="Arial" w:cs="Arial" w:eastAsia="Arial" w:hAnsi="Arial"/>
          <w:b w:val="false"/>
          <w:bCs w:val="false"/>
          <w:i w:val="false"/>
          <w:iCs w:val="false"/>
          <w:color w:val="1A1A2E"/>
          <w:sz w:val="22"/>
          <w:szCs w:val="22"/>
        </w:rPr>
        <w:t xml:space="preserve">These are geographies where zero or near-zero smartphone penetration, mobile network coverage limited to 2G or BSNL voice only, average farm size below 0.5 acre (limiting KCC loan size and therefore interest income), and/or seasonal flooding isolating communities for months create conditions where customer-facing digital investment has a break-even horizon exceeding a decade. Examples: Deep Assam riverine areas with seasonal flooding; sub-Himalayan blocks of Arunachal Pradesh; extremely remote tribal blocks in Bastar (Chhattisgarh).</w:t>
      </w:r>
    </w:p>
    <w:p>
      <w:pPr>
        <w:spacing w:after="100" w:before="80" w:line="276" w:lineRule="auto"/>
        <w:jc w:val="both"/>
      </w:pPr>
      <w:r>
        <w:rPr>
          <w:rFonts w:ascii="Arial" w:cs="Arial" w:eastAsia="Arial" w:hAnsi="Arial"/>
          <w:b w:val="false"/>
          <w:bCs w:val="false"/>
          <w:i w:val="false"/>
          <w:iCs w:val="false"/>
          <w:color w:val="1A1A2E"/>
          <w:sz w:val="22"/>
          <w:szCs w:val="22"/>
        </w:rPr>
        <w:t xml:space="preserve">The honest SSPL recommendation for Scenario R3: invest only in internal digital operations (CBS, compliance, payroll); defer all customer-facing digital until BharatNet Phase 2 connectivity improvement creates the infrastructure prerequisite. SSPL's most important contribution in these geographies is not product deployment but infrastructure advocacy — working with DOT, BSNL, and the state government to ensure mobile connectivity as a prerequisite.</w:t>
      </w:r>
    </w:p>
    <w:p>
      <w:pPr>
        <w:pStyle w:val="Heading2"/>
        <w:spacing w:after="120" w:before="260"/>
      </w:pPr>
      <w:r>
        <w:rPr>
          <w:rFonts w:ascii="Arial" w:cs="Arial" w:eastAsia="Arial" w:hAnsi="Arial"/>
          <w:b/>
          <w:bCs/>
          <w:color w:val="0E8A8A"/>
          <w:sz w:val="32"/>
          <w:szCs w:val="32"/>
        </w:rPr>
        <w:t xml:space="preserve">5.3 Special Client Segments</w:t>
      </w:r>
    </w:p>
    <w:p>
      <w:pPr>
        <w:pStyle w:val="Heading3"/>
        <w:spacing w:after="80" w:before="200"/>
      </w:pPr>
      <w:r>
        <w:rPr>
          <w:rFonts w:ascii="Arial" w:cs="Arial" w:eastAsia="Arial" w:hAnsi="Arial"/>
          <w:b/>
          <w:bCs/>
          <w:color w:val="0A1628"/>
          <w:sz w:val="26"/>
          <w:szCs w:val="26"/>
        </w:rPr>
        <w:t xml:space="preserve">SHG Members</w:t>
      </w:r>
    </w:p>
    <w:p>
      <w:pPr>
        <w:spacing w:after="100" w:before="80" w:line="276" w:lineRule="auto"/>
        <w:jc w:val="both"/>
      </w:pPr>
      <w:r>
        <w:rPr>
          <w:rFonts w:ascii="Arial" w:cs="Arial" w:eastAsia="Arial" w:hAnsi="Arial"/>
          <w:b w:val="false"/>
          <w:bCs w:val="false"/>
          <w:i w:val="false"/>
          <w:iCs w:val="false"/>
          <w:color w:val="1A1A2E"/>
          <w:sz w:val="22"/>
          <w:szCs w:val="22"/>
        </w:rPr>
        <w:t xml:space="preserve">Self-Help Group members present a unique digital opportunity: the group structure provides social facilitation for digital adoption. A single digitally literate SHG leader can enable banking access for all 10–20 members. NABARD's SHG-Bank Linkage Programme has connected over 12 crore SHG members to formal credit. For DCCBs, SHG group accounts should be digitised with multi-signatory CBS functionality; group loan repayment should be managed via NACH group mandate; and SHG members should receive individual PMJDY accounts linked to the group account for DBT receipt.</w:t>
      </w:r>
    </w:p>
    <w:p>
      <w:pPr>
        <w:pStyle w:val="Heading3"/>
        <w:spacing w:after="80" w:before="200"/>
      </w:pPr>
      <w:r>
        <w:rPr>
          <w:rFonts w:ascii="Arial" w:cs="Arial" w:eastAsia="Arial" w:hAnsi="Arial"/>
          <w:b/>
          <w:bCs/>
          <w:color w:val="0A1628"/>
          <w:sz w:val="26"/>
          <w:szCs w:val="26"/>
        </w:rPr>
        <w:t xml:space="preserve">Farmer Producer Organisations (FPOs)</w:t>
      </w:r>
    </w:p>
    <w:p>
      <w:pPr>
        <w:spacing w:after="100" w:before="80" w:line="276" w:lineRule="auto"/>
        <w:jc w:val="both"/>
      </w:pPr>
      <w:r>
        <w:rPr>
          <w:rFonts w:ascii="Arial" w:cs="Arial" w:eastAsia="Arial" w:hAnsi="Arial"/>
          <w:b w:val="false"/>
          <w:bCs w:val="false"/>
          <w:i w:val="false"/>
          <w:iCs w:val="false"/>
          <w:color w:val="1A1A2E"/>
          <w:sz w:val="22"/>
          <w:szCs w:val="22"/>
        </w:rPr>
        <w:t xml:space="preserve">FPOs are the highest-ROI client segment in the DCCB ecosystem. FPO management teams have significantly higher digital literacy than individual farmers; FPO transaction volumes (procurement from member farmers, sale to markets) create large working capital loan demand; and supply chain finance linked to FPO commodity flows offers the DCCB a secured, high-revenue lending product. NABARD's RuralTech CoLab (launched Global Fintech Fest 2025) is specifically co-creating FPO-linked digital lending models. DM-RFIs should prioritise FPO supply chain finance as a premium product.</w:t>
      </w:r>
    </w:p>
    <w:p>
      <w:pPr>
        <w:pStyle w:val="Heading3"/>
        <w:spacing w:after="80" w:before="200"/>
      </w:pPr>
      <w:r>
        <w:rPr>
          <w:rFonts w:ascii="Arial" w:cs="Arial" w:eastAsia="Arial" w:hAnsi="Arial"/>
          <w:b/>
          <w:bCs/>
          <w:color w:val="0A1628"/>
          <w:sz w:val="26"/>
          <w:szCs w:val="26"/>
        </w:rPr>
        <w:t xml:space="preserve">Tribal and Forest Produce Collectors</w:t>
      </w:r>
    </w:p>
    <w:p>
      <w:pPr>
        <w:spacing w:after="100" w:before="80" w:line="276" w:lineRule="auto"/>
        <w:jc w:val="both"/>
      </w:pPr>
      <w:r>
        <w:rPr>
          <w:rFonts w:ascii="Arial" w:cs="Arial" w:eastAsia="Arial" w:hAnsi="Arial"/>
          <w:b w:val="false"/>
          <w:bCs w:val="false"/>
          <w:i w:val="false"/>
          <w:iCs w:val="false"/>
          <w:color w:val="1A1A2E"/>
          <w:sz w:val="22"/>
          <w:szCs w:val="22"/>
        </w:rPr>
        <w:t xml:space="preserve">TRIFED (Tribal Cooperative Marketing Development Federation) facilitates digital payments to tribal forest produce collectors (Tendu leaf, Mahua, minor forest produce). Payments are made via DBT to collector accounts. DCCBs serving tribal geographies should integrate with TRIFED's payment system to receive these flows directly into PACS member accounts — creating account activity that supports credit eligibility and reduces cash handling risk for both TRIFED and the collector community.</w:t>
      </w:r>
    </w:p>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V</w:t>
            </w:r>
          </w:p>
          <w:p>
            <w:pPr>
              <w:jc w:val="center"/>
            </w:pPr>
            <w:r>
              <w:rPr>
                <w:rFonts w:ascii="Arial" w:cs="Arial" w:eastAsia="Arial" w:hAnsi="Arial"/>
                <w:b/>
                <w:bCs/>
                <w:color w:val="FFFFFF"/>
                <w:sz w:val="28"/>
                <w:szCs w:val="28"/>
              </w:rPr>
              <w:t xml:space="preserve">Granularity — Bank-Wise vs Branch-Wise vs Region-Wise</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6: The Measurement Granularity Decision</w:t>
      </w:r>
    </w:p>
    <w:p>
      <w:pPr>
        <w:spacing w:after="100" w:before="80" w:line="276" w:lineRule="auto"/>
        <w:jc w:val="both"/>
      </w:pPr>
      <w:r>
        <w:rPr>
          <w:rFonts w:ascii="Arial" w:cs="Arial" w:eastAsia="Arial" w:hAnsi="Arial"/>
          <w:b w:val="false"/>
          <w:bCs w:val="false"/>
          <w:i w:val="false"/>
          <w:iCs w:val="false"/>
          <w:color w:val="1A1A2E"/>
          <w:sz w:val="22"/>
          <w:szCs w:val="22"/>
        </w:rPr>
        <w:t xml:space="preserve">Effective measurement of digital transformation effectiveness requires simultaneous analysis at three levels of granularity. Each level addresses a distinct management question and serves a distinct decision-making audience. Using only one level produces blind spots: bank-wide averages hide underperforming branches; branch-wise data lacks strategic context; region-wise data lacks operational specificity. The SSPL Annual Digital Effectiveness Index (ADEI) integrates all three.</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6.1 Bank-Wide Effectiveness Measurement</w:t>
      </w:r>
    </w:p>
    <w:p>
      <w:pPr>
        <w:spacing w:after="100" w:before="80" w:line="276" w:lineRule="auto"/>
        <w:jc w:val="both"/>
      </w:pPr>
      <w:r>
        <w:rPr>
          <w:rFonts w:ascii="Arial" w:cs="Arial" w:eastAsia="Arial" w:hAnsi="Arial"/>
          <w:b w:val="false"/>
          <w:bCs w:val="false"/>
          <w:i w:val="false"/>
          <w:iCs w:val="false"/>
          <w:color w:val="1A1A2E"/>
          <w:sz w:val="22"/>
          <w:szCs w:val="22"/>
        </w:rPr>
        <w:t xml:space="preserve">Bank-wide metrics answer the strategic question: "Is our institution on track for digital maturity upgrade?" They are relevant for DCCB boards, NABARD inspection teams, and SSPL's annual benchmarking exercise. Bank-level KPIs are computed from aggregated CBS data and form the ADEI input data.</w:t>
      </w:r>
    </w:p>
    <w:tbl>
      <w:tblPr>
        <w:tblW w:type="dxa" w:w="8854"/>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9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KPI</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 YR1 TARGET</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 YR2 TARGET</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 YR3 TARGET</w:t>
            </w:r>
          </w:p>
        </w:tc>
        <w:tc>
          <w:tcPr>
            <w:tcW w:type="dxa" w:w="1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MEASUREMENT FREQUENCY</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transaction % of total</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45%</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85%+</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Overall GNPA ratio</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&lt;12%</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&lt;8%</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&lt;5%</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Quarterly</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Operating cost ratio</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&lt;5.5%</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&lt;4.8%</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&lt;3.8%</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Annual</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uptime (%)</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&gt;95%</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&gt;99%</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&gt;99.9%</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CRAR compliance (%)</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&gt;10%</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&gt;11%</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Quarterly</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Regulatory return accuracy (%)</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&gt;85%</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&gt;95%</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&gt;99%</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Per submission</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channel cost vs branch (%)</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 lower</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75% lower</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93% lower</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Annual</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Active RuPay card holders (%)</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&gt;35%</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&gt;60%</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&gt;85%</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Quarterly</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KCC digital origination (%)</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&gt;15%</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&gt;50%</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Quarterly</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 digitally integrated (%)</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0–20%</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50–70%</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Half-yearly</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6.2 Branch-Wise Effectiveness Measurement</w:t>
      </w:r>
    </w:p>
    <w:p>
      <w:pPr>
        <w:spacing w:after="100" w:before="80" w:line="276" w:lineRule="auto"/>
        <w:jc w:val="both"/>
      </w:pPr>
      <w:r>
        <w:rPr>
          <w:rFonts w:ascii="Arial" w:cs="Arial" w:eastAsia="Arial" w:hAnsi="Arial"/>
          <w:b w:val="false"/>
          <w:bCs w:val="false"/>
          <w:i w:val="false"/>
          <w:iCs w:val="false"/>
          <w:color w:val="1A1A2E"/>
          <w:sz w:val="22"/>
          <w:szCs w:val="22"/>
        </w:rPr>
        <w:t xml:space="preserve">Branch-wise metrics answer the operational question: "Which branches are digital adoption leaders and which need targeted support?" The branch manager is the frontline implementer of digital transformation, and their performance against branch-level KPIs determines overall DCCB progress.</w:t>
      </w:r>
    </w:p>
    <w:p>
      <w:pPr>
        <w:pStyle w:val="Heading3"/>
        <w:spacing w:after="80" w:before="200"/>
      </w:pPr>
      <w:r>
        <w:rPr>
          <w:rFonts w:ascii="Arial" w:cs="Arial" w:eastAsia="Arial" w:hAnsi="Arial"/>
          <w:b/>
          <w:bCs/>
          <w:color w:val="0A1628"/>
          <w:sz w:val="26"/>
          <w:szCs w:val="26"/>
        </w:rPr>
        <w:t xml:space="preserve">Branch Tiering Within a DCCB:</w:t>
      </w:r>
    </w:p>
    <w:p>
      <w:pPr>
        <w:pStyle w:val="ListParagraph"/>
        <w:numPr>
          <w:ilvl w:val="0"/>
          <w:numId w:val="2"/>
        </w:numPr>
        <w:spacing w:after="40" w:before="40" w:line="276" w:lineRule="auto"/>
      </w:pPr>
      <w:r>
        <w:rPr>
          <w:rFonts w:ascii="Arial" w:cs="Arial" w:eastAsia="Arial" w:hAnsi="Arial"/>
          <w:color w:val="1A1A2E"/>
          <w:sz w:val="22"/>
          <w:szCs w:val="22"/>
        </w:rPr>
        <w:t xml:space="preserve">Tier A (District HQ Branch): Full digital products; minimum 80% digital transactions target; serves institutional clients and FPOs</w:t>
      </w:r>
    </w:p>
    <w:p>
      <w:pPr>
        <w:pStyle w:val="ListParagraph"/>
        <w:numPr>
          <w:ilvl w:val="0"/>
          <w:numId w:val="2"/>
        </w:numPr>
        <w:spacing w:after="40" w:before="40" w:line="276" w:lineRule="auto"/>
      </w:pPr>
      <w:r>
        <w:rPr>
          <w:rFonts w:ascii="Arial" w:cs="Arial" w:eastAsia="Arial" w:hAnsi="Arial"/>
          <w:color w:val="1A1A2E"/>
          <w:sz w:val="22"/>
          <w:szCs w:val="22"/>
        </w:rPr>
        <w:t xml:space="preserve">Tier B (Block HQ Branch): Core digital + BC agent network; 50–60% digital transactions target; serves PACS-linked farmers</w:t>
      </w:r>
    </w:p>
    <w:p>
      <w:pPr>
        <w:pStyle w:val="ListParagraph"/>
        <w:numPr>
          <w:ilvl w:val="0"/>
          <w:numId w:val="2"/>
        </w:numPr>
        <w:spacing w:after="40" w:before="40" w:line="276" w:lineRule="auto"/>
      </w:pPr>
      <w:r>
        <w:rPr>
          <w:rFonts w:ascii="Arial" w:cs="Arial" w:eastAsia="Arial" w:hAnsi="Arial"/>
          <w:color w:val="1A1A2E"/>
          <w:sz w:val="22"/>
          <w:szCs w:val="22"/>
        </w:rPr>
        <w:t xml:space="preserve">Tier C (Rural PACS-Connected Branch): Basic digital only; 20–30% digital transactions target; primarily serves Segment B and C clients</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900"/>
        <w:gridCol w:w="900"/>
        <w:gridCol w:w="900"/>
        <w:gridCol w:w="2154"/>
      </w:tblGrid>
      <w:tr>
        <w:trPr>
          <w:tblHeader/>
        </w:trPr>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BRANCH KPI</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MEASUREMENT UNIT</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TIER A TARGET</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TIER B TARGET</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TIER C TARGET</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FREQUENCY</w:t>
            </w:r>
          </w:p>
        </w:tc>
        <w:tc>
          <w:tcPr>
            <w:tcW w:type="dxa" w:w="21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RESPONSIBLE</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transaction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80%+</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Daily</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 Manager</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New accounts opened digitally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Branch Manager</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Active BC agents in territory</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Count</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Regional Manager</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KCC loan TAT (days)</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Days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&lt;3</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&lt;10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Per loan</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Credit Officer</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ratio (branch portfolio)</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&lt;6%</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&lt;9%</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 Manager</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 transactions (monthly)</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Count</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BC Officer</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uptime (branch)</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&gt;99.9%</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&gt;99%</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&gt;97%</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IT Officer</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Staff digital literacy score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&gt;75%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&gt;60%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Quarterly</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HR/Training</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Customer complaint resolution TAT</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Hours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&lt;8</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&lt;24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Per complaint</w:t>
            </w:r>
          </w:p>
        </w:tc>
        <w:tc>
          <w:tcPr>
            <w:tcW w:type="dxa" w:w="21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 Manager</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 data quality score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&gt;85%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&gt;70%</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c>
          <w:tcPr>
            <w:tcW w:type="dxa" w:w="21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 Coordinator</w:t>
            </w:r>
          </w:p>
        </w:tc>
      </w:tr>
    </w:tbl>
    <w:p>
      <w:pPr>
        <w:spacing w:after="100" w:before="80" w:line="276" w:lineRule="auto"/>
        <w:jc w:val="both"/>
      </w:pPr>
      <w:r>
        <w:rPr>
          <w:rFonts w:ascii="Arial" w:cs="Arial" w:eastAsia="Arial" w:hAnsi="Arial"/>
          <w:b w:val="false"/>
          <w:bCs w:val="false"/>
          <w:i w:val="false"/>
          <w:iCs w:val="false"/>
          <w:color w:val="1A1A2E"/>
          <w:sz w:val="22"/>
          <w:szCs w:val="22"/>
        </w:rPr>
        <w:t xml:space="preserve">SSPL uses branch-wise data to produce a quarterly benchmarking report comparing all branches within a DCCB and all DCCBs within a state. This peer benchmarking — making performance transparent to management and boards — is one of the most powerful behavioural incentives for branch-level digital adoption. Outlier branches (both positive and negative) are identified for targeted support or recognition.</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6.3 Region-Wise Effectiveness Measurement</w:t>
      </w:r>
    </w:p>
    <w:p>
      <w:pPr>
        <w:pStyle w:val="Heading3"/>
        <w:spacing w:after="80" w:before="200"/>
      </w:pPr>
      <w:r>
        <w:rPr>
          <w:rFonts w:ascii="Arial" w:cs="Arial" w:eastAsia="Arial" w:hAnsi="Arial"/>
          <w:b/>
          <w:bCs/>
          <w:color w:val="0A1628"/>
          <w:sz w:val="26"/>
          <w:szCs w:val="26"/>
        </w:rPr>
        <w:t xml:space="preserve">Zone 1 — Progressive Digital Belt</w:t>
      </w:r>
    </w:p>
    <w:p>
      <w:pPr>
        <w:spacing w:after="100" w:before="80" w:line="276" w:lineRule="auto"/>
        <w:jc w:val="both"/>
      </w:pPr>
      <w:r>
        <w:rPr>
          <w:rFonts w:ascii="Arial" w:cs="Arial" w:eastAsia="Arial" w:hAnsi="Arial"/>
          <w:b w:val="false"/>
          <w:bCs w:val="false"/>
          <w:i w:val="false"/>
          <w:iCs w:val="false"/>
          <w:color w:val="1A1A2E"/>
          <w:sz w:val="22"/>
          <w:szCs w:val="22"/>
        </w:rPr>
        <w:t xml:space="preserve">States: Punjab, Haryana, Gujarat, Maharashtra (excluding tribal districts), Karnataka (southern), Andhra Pradesh, Telangana. DM-RFI concentration: ~70% of all DM-RFIs are in this zone. Smartphone penetration: 65–80% of rural households. 4G coverage: &gt;90% of villages. SSPL Priority: Full AI integration; advanced product deployment; PACS completion to 100%; FPO supply chain finance activation; API enablement for third-party fintech integration.</w:t>
      </w:r>
    </w:p>
    <w:p>
      <w:pPr>
        <w:pStyle w:val="Heading3"/>
        <w:spacing w:after="80" w:before="200"/>
      </w:pPr>
      <w:r>
        <w:rPr>
          <w:rFonts w:ascii="Arial" w:cs="Arial" w:eastAsia="Arial" w:hAnsi="Arial"/>
          <w:b/>
          <w:bCs/>
          <w:color w:val="0A1628"/>
          <w:sz w:val="26"/>
          <w:szCs w:val="26"/>
        </w:rPr>
        <w:t xml:space="preserve">Zone 2 — Transitional Digital Belt</w:t>
      </w:r>
    </w:p>
    <w:p>
      <w:pPr>
        <w:spacing w:after="100" w:before="80" w:line="276" w:lineRule="auto"/>
        <w:jc w:val="both"/>
      </w:pPr>
      <w:r>
        <w:rPr>
          <w:rFonts w:ascii="Arial" w:cs="Arial" w:eastAsia="Arial" w:hAnsi="Arial"/>
          <w:b w:val="false"/>
          <w:bCs w:val="false"/>
          <w:i w:val="false"/>
          <w:iCs w:val="false"/>
          <w:color w:val="1A1A2E"/>
          <w:sz w:val="22"/>
          <w:szCs w:val="22"/>
        </w:rPr>
        <w:t xml:space="preserve">States: UP (eastern and western), MP (western), Rajasthan (northern), Tamil Nadu, Kerala, West Bengal (non-tribal), Himachal Pradesh, Uttarakhand. PD-RFI concentration: ~65% of all PD-RFIs. Smartphone penetration: 40–65%. 4G coverage: 60–80% of villages. SSPL Priority: Completion of CBS gaps; BC network expansion and incentive redesign; NACH seasonal mandate rollout; BBPS BOU registration; Tier 2 MIS deployment.</w:t>
      </w:r>
    </w:p>
    <w:p>
      <w:pPr>
        <w:pStyle w:val="Heading3"/>
        <w:spacing w:after="80" w:before="200"/>
      </w:pPr>
      <w:r>
        <w:rPr>
          <w:rFonts w:ascii="Arial" w:cs="Arial" w:eastAsia="Arial" w:hAnsi="Arial"/>
          <w:b/>
          <w:bCs/>
          <w:color w:val="0A1628"/>
          <w:sz w:val="26"/>
          <w:szCs w:val="26"/>
        </w:rPr>
        <w:t xml:space="preserve">Zone 3 — Digital Frontier</w:t>
      </w:r>
    </w:p>
    <w:p>
      <w:pPr>
        <w:spacing w:after="100" w:before="80" w:line="276" w:lineRule="auto"/>
        <w:jc w:val="both"/>
      </w:pPr>
      <w:r>
        <w:rPr>
          <w:rFonts w:ascii="Arial" w:cs="Arial" w:eastAsia="Arial" w:hAnsi="Arial"/>
          <w:b w:val="false"/>
          <w:bCs w:val="false"/>
          <w:i w:val="false"/>
          <w:iCs w:val="false"/>
          <w:color w:val="1A1A2E"/>
          <w:sz w:val="22"/>
          <w:szCs w:val="22"/>
        </w:rPr>
        <w:t xml:space="preserve">States: Bihar, Jharkhand, Odisha (tribal), Chhattisgarh, Northeast India (all 8 states), UP (eastern tribal blocks). PDC-RFI concentration: ~75% of all PDC-RFIs. Smartphone penetration: 15–40%. 4G coverage: 30–60% of villages. SSPL Priority: Foundation infrastructure + phygital model; defer advanced customer-facing products; BharatNet advocacy; AePS-first strategy; internal operations digital only in Scenario R3 geographies.</w:t>
      </w:r>
    </w:p>
    <w:p>
      <w:pPr>
        <w:pStyle w:val="Heading2"/>
        <w:spacing w:after="120" w:before="260"/>
      </w:pPr>
      <w:r>
        <w:rPr>
          <w:rFonts w:ascii="Arial" w:cs="Arial" w:eastAsia="Arial" w:hAnsi="Arial"/>
          <w:b/>
          <w:bCs/>
          <w:color w:val="0E8A8A"/>
          <w:sz w:val="32"/>
          <w:szCs w:val="32"/>
        </w:rPr>
        <w:t xml:space="preserve">6.4 SSPL Optimal Measurement Architecture — The ADEI</w:t>
      </w:r>
    </w:p>
    <w:p>
      <w:pPr>
        <w:spacing w:after="100" w:before="80" w:line="276" w:lineRule="auto"/>
        <w:jc w:val="both"/>
      </w:pPr>
      <w:r>
        <w:rPr>
          <w:rFonts w:ascii="Arial" w:cs="Arial" w:eastAsia="Arial" w:hAnsi="Arial"/>
          <w:b w:val="false"/>
          <w:bCs w:val="false"/>
          <w:i w:val="false"/>
          <w:iCs w:val="false"/>
          <w:color w:val="1A1A2E"/>
          <w:sz w:val="22"/>
          <w:szCs w:val="22"/>
        </w:rPr>
        <w:t xml:space="preserve">The Annual Digital Effectiveness Index is a composite score (0–100) published annually by SSPL and NABARD for every DCCB in India. It integrates bank-wide metrics (40% weight), branch-wise performance distribution (35% weight), and regional benchmarking (25% weight). DCCBs scoring below 30 are classified as PDC-RFI; 30–60 as PD-RFI; above 60 as DM-RFI. A category upgrade threshold triggers an SSPL advisory visit and revised product roadmap. The ADEI serves three purposes: individual DCCB performance accountability; NABARD allocation of technical assistance resources; and SSPL prioritisation of shared services roll-out sequencing.</w:t>
      </w:r>
    </w:p>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VI</w:t>
            </w:r>
          </w:p>
          <w:p>
            <w:pPr>
              <w:jc w:val="center"/>
            </w:pPr>
            <w:r>
              <w:rPr>
                <w:rFonts w:ascii="Arial" w:cs="Arial" w:eastAsia="Arial" w:hAnsi="Arial"/>
                <w:b/>
                <w:bCs/>
                <w:color w:val="FFFFFF"/>
                <w:sz w:val="28"/>
                <w:szCs w:val="28"/>
              </w:rPr>
              <w:t xml:space="preserve">Scale-Down Architecture</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7: From Large Bank to DCCB — The Scale-Down Model</w:t>
      </w:r>
    </w:p>
    <w:p>
      <w:pPr>
        <w:spacing w:after="100" w:before="80" w:line="276" w:lineRule="auto"/>
        <w:jc w:val="both"/>
      </w:pPr>
      <w:r>
        <w:rPr>
          <w:rFonts w:ascii="Arial" w:cs="Arial" w:eastAsia="Arial" w:hAnsi="Arial"/>
          <w:b w:val="false"/>
          <w:bCs w:val="false"/>
          <w:i w:val="false"/>
          <w:iCs w:val="false"/>
          <w:color w:val="1A1A2E"/>
          <w:sz w:val="22"/>
          <w:szCs w:val="22"/>
        </w:rPr>
        <w:t xml:space="preserve">The scale-down model is the analytical bridge between what large commercial banks deploy and what DCCBs should implement. It is not a compromise — it is a calibration. The goal is "functional parity at cooperative scale": the 20% of product features that deliver 80% of rural client value, delivered at 10–15% of large bank implementation cost.</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7.1 Utility Comparison Table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2000"/>
        <w:gridCol w:w="1200"/>
        <w:gridCol w:w="13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LARGE BANK VERSION</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LARGE BANK COST</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DCCB EQUIVALENT</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DCCB COST</w:t>
            </w:r>
          </w:p>
        </w:tc>
        <w:tc>
          <w:tcPr>
            <w:tcW w:type="dxa" w:w="1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FUNCTIONAL PARITY %</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Mobile Banking</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YONO Superapp (100M users, ₹4,000 Cr build)</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₹4,000+ crore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white-label cooperative app</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₹15–30 lakhs</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65%</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TCS BaNCS (140M accounts)</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 crore implementation</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or TrustBankCBS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₹15–150 lakhs</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85%</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KYC / Account Opening</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V-CIP + Aadhaar + CIBIL auto</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₹5–15 crore (infrastructure)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Aadhaar eKYC + V-CIP via CBS vendor</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₹3–10 lakhs</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Origination</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AI LOS + satellite data + instant approval</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₹20–50 crore (fintech build)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LOS + API connectors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₹5–20 lakhs</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75%</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ATM Network</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20,000–60,000 ATMs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₹600–1,800 crore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Shared ATM + micro-ATM at PACS BCs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₹15–50 lakhs</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70%</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 Monitoring</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Real-time AI portfolio monitoring</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₹10–30 crore (platform)</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EWS via SSPL shared platform</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₹3–10 lakhs/yr</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80%</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Compliance Engine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Automated RBI/SEBI/NABARD filing</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₹5–15 crore (custom)</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compliance engine</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lakhs/yr</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90%</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Cybersecurity</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Dedicated SOC + HSM + SIEM</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₹50–100 lakhs/yr</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SOC + AES-256 + OTP</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lakhs/yr</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80%</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HRMS / Payroll</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SAP HCM / Oracle PeopleSoft</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crore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GreytHR / Zoho / SSPL shared HRMS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₹3–12 lakhs/yr</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85%</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WhatsApp Banking</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HDFC Bank WhatsApp + AI</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₹5–15 crore (build)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WhatsApp API</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₹50K–1 lakh/yr</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75%</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AML / Fraud</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AI transaction scoring + dedicated AML team</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₹10–30 lakhs/yr (software)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AML engine</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lakhs/yr</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80%</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MIS / BI</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Enterprise data warehouse + Power BI + AI</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₹5–20 crore (build)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Power BI (Tier 2) or SSPL BI platform</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₹2–15 lakhs</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70%</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Insurance Bancassurance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HDFC Life / SBI Life product factory</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₹100+ crore (JV)</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PMFBY auto-enrol + PMJJBY/PMSBY</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 (commission model)</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Treasury TMS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Bloomberg + dedicated dealing room</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₹5–20 crore</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investment module (SLR tracking)</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Nil (CBS-bundled)</w:t>
            </w:r>
          </w:p>
        </w:tc>
        <w:tc>
          <w:tcPr>
            <w:tcW w:type="dxa" w:w="1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55%</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Document Management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Enterprise DMS with AI verification</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₹5–10 crore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Google Workspace / dedicated DMS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₹5K–25 lakhs</w:t>
            </w:r>
          </w:p>
        </w:tc>
        <w:tc>
          <w:tcPr>
            <w:tcW w:type="dxa" w:w="1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70%</w:t>
            </w:r>
          </w:p>
        </w:tc>
      </w:tr>
    </w:tbl>
    <w:p>
      <w:pPr>
        <w:spacing w:after="80" w:before="80"/>
      </w:pPr>
      <w:r>
        <w:t xml:space="preserve"/>
      </w:r>
    </w:p>
    <w:p>
      <w:pPr>
        <w:spacing w:after="100" w:before="80" w:line="276" w:lineRule="auto"/>
        <w:jc w:val="both"/>
      </w:pPr>
      <w:r>
        <w:rPr>
          <w:rFonts w:ascii="Arial" w:cs="Arial" w:eastAsia="Arial" w:hAnsi="Arial"/>
          <w:b w:val="false"/>
          <w:bCs w:val="false"/>
          <w:i w:val="false"/>
          <w:iCs w:val="false"/>
          <w:color w:val="1A1A2E"/>
          <w:sz w:val="22"/>
          <w:szCs w:val="22"/>
        </w:rPr>
        <w:t xml:space="preserve">The "Functional Parity at Cooperative Scale" principle recognises that large bank digital products are built for 140 million accounts, 14,600 branches, and ₹60+ trillion balance sheets. They include thousands of features — most of which are irrelevant to a DCCB serving 50,000 accounts across 15 branches with a ₹500 crore loan book. A DCCB needs: account opening (5 features, not 150); KCC loan origination (12 steps, not 80); NPA monitoring (early warning system, not a full risk analytics suite); and compliance reporting (10 regulatory returns, not the 200+ returns filed by SBI). The SSPL scale-down model focuses investment on the features that matter for the cooperative client base and avoids paying for enterprise-scale complexity that delivers zero incremental rural banking value.</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7.2 Technology Procurement Pathways</w:t>
      </w:r>
    </w:p>
    <w:p>
      <w:pPr>
        <w:pStyle w:val="Heading3"/>
        <w:spacing w:after="80" w:before="200"/>
      </w:pPr>
      <w:r>
        <w:rPr>
          <w:rFonts w:ascii="Arial" w:cs="Arial" w:eastAsia="Arial" w:hAnsi="Arial"/>
          <w:b/>
          <w:bCs/>
          <w:color w:val="0A1628"/>
          <w:sz w:val="26"/>
          <w:szCs w:val="26"/>
        </w:rPr>
        <w:t xml:space="preserve">Pathway A: SSPL Shared Services Model</w:t>
      </w:r>
    </w:p>
    <w:p>
      <w:pPr>
        <w:spacing w:after="100" w:before="80" w:line="276" w:lineRule="auto"/>
        <w:jc w:val="both"/>
      </w:pPr>
      <w:r>
        <w:rPr>
          <w:rFonts w:ascii="Arial" w:cs="Arial" w:eastAsia="Arial" w:hAnsi="Arial"/>
          <w:b w:val="false"/>
          <w:bCs w:val="false"/>
          <w:i w:val="false"/>
          <w:iCs w:val="false"/>
          <w:color w:val="1A1A2E"/>
          <w:sz w:val="22"/>
          <w:szCs w:val="22"/>
        </w:rPr>
        <w:t xml:space="preserve">The SSPL shared services model is appropriate for all products where the per-DCCB standalone cost exceeds ₹5 lakhs annually and where the product's functionality does not require customisation beyond basic DCCB-specific branding and configuration. Products best suited to SSPL shared delivery: cybersecurity SOC; AML compliance engine; WhatsApp banking API; IVR and missed-call banking; digital KCC LOS platform; regulatory compliance engine; MIS/BI platform; HRMS; and digital vault (document management).</w:t>
      </w:r>
    </w:p>
    <w:p>
      <w:pPr>
        <w:spacing w:after="100" w:before="80" w:line="276" w:lineRule="auto"/>
        <w:jc w:val="both"/>
      </w:pPr>
      <w:r>
        <w:rPr>
          <w:rFonts w:ascii="Arial" w:cs="Arial" w:eastAsia="Arial" w:hAnsi="Arial"/>
          <w:b w:val="false"/>
          <w:bCs w:val="false"/>
          <w:i w:val="false"/>
          <w:iCs w:val="false"/>
          <w:color w:val="1A1A2E"/>
          <w:sz w:val="22"/>
          <w:szCs w:val="22"/>
        </w:rPr>
        <w:t xml:space="preserve">Current SSPL capability maturity varies by product: CBS SaaS hosting is in development; cybersecurity SOC is planned; regulatory reporting engine is in advanced development; digital lending platform is in pilot; WhatsApp banking shared API is in development. DCCBs adopting SSPL products must plan for development and deployment timelines — some products will be available in 12–18 months, others in 24–36 months. The recommended approach is to use third-party ERP vendors for immediate needs and migrate to SSPL shared model when SSPL capability matures.</w:t>
      </w:r>
    </w:p>
    <w:p>
      <w:pPr>
        <w:pStyle w:val="Heading3"/>
        <w:spacing w:after="80" w:before="200"/>
      </w:pPr>
      <w:r>
        <w:rPr>
          <w:rFonts w:ascii="Arial" w:cs="Arial" w:eastAsia="Arial" w:hAnsi="Arial"/>
          <w:b/>
          <w:bCs/>
          <w:color w:val="0A1628"/>
          <w:sz w:val="26"/>
          <w:szCs w:val="26"/>
        </w:rPr>
        <w:t xml:space="preserve">Pathway B: Affordable Third-Party ERP / CBS Vendor</w:t>
      </w:r>
    </w:p>
    <w:p>
      <w:pPr>
        <w:spacing w:after="100" w:before="80" w:line="276" w:lineRule="auto"/>
        <w:jc w:val="both"/>
      </w:pPr>
      <w:r>
        <w:rPr>
          <w:rFonts w:ascii="Arial" w:cs="Arial" w:eastAsia="Arial" w:hAnsi="Arial"/>
          <w:b w:val="false"/>
          <w:bCs w:val="false"/>
          <w:i w:val="false"/>
          <w:iCs w:val="false"/>
          <w:color w:val="1A1A2E"/>
          <w:sz w:val="22"/>
          <w:szCs w:val="22"/>
        </w:rPr>
        <w:t xml:space="preserve">Third-party ERP vendors — C-Edge, TrustBankCBS, Virmati, RB Tech Services, Custodian/LISTSPL, Autobank — are the immediate, deployable option for all DCCBs. These vendors have proven cooperative banking deployments, India-specific regulatory compliance capability, and pricing models appropriate for institutions with ₹200–2,000 crore balance sheets. Procurement process: issue a 2-page RFP (SSPL advisory team provides standard template); shortlist 2–3 vendors; request demonstrations focused on cooperative-specific modules (share capital, PACS sub-accounting, seasonal KCC); negotiate a pilot deployment at one branch before full commitment; budget for 18% annual maintenance as a percentage of licence cost.</w:t>
      </w:r>
    </w:p>
    <w:p>
      <w:pPr>
        <w:pStyle w:val="Heading3"/>
        <w:spacing w:after="80" w:before="200"/>
      </w:pPr>
      <w:r>
        <w:rPr>
          <w:rFonts w:ascii="Arial" w:cs="Arial" w:eastAsia="Arial" w:hAnsi="Arial"/>
          <w:b/>
          <w:bCs/>
          <w:color w:val="0A1628"/>
          <w:sz w:val="26"/>
          <w:szCs w:val="26"/>
        </w:rPr>
        <w:t xml:space="preserve">Pathway C: Configuration on Existing CBS</w:t>
      </w:r>
    </w:p>
    <w:p>
      <w:pPr>
        <w:spacing w:after="100" w:before="80" w:line="276" w:lineRule="auto"/>
        <w:jc w:val="both"/>
      </w:pPr>
      <w:r>
        <w:rPr>
          <w:rFonts w:ascii="Arial" w:cs="Arial" w:eastAsia="Arial" w:hAnsi="Arial"/>
          <w:b w:val="false"/>
          <w:bCs w:val="false"/>
          <w:i w:val="false"/>
          <w:iCs w:val="false"/>
          <w:color w:val="1A1A2E"/>
          <w:sz w:val="22"/>
          <w:szCs w:val="22"/>
        </w:rPr>
        <w:t xml:space="preserve">The fastest and lowest-cost path to digital value is activating CBS modules that are already licensed but not configured. Most DCCBs using C-Edge, TrustBankCBS, or Virmati have access to NACH, eKYC, LOS, investment tracking, and basic MIS modules within their existing CBS licence — but have not activated or configured them. An SSPL-led CBS configuration sprint (4–8 weeks, ₹2–5 lakhs in consultant time) can activate these modules without any new procurement, delivering 40–60% of digital value at less than 10% of the cost of new software.</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7.3 Minimum Viable Digital Stack (MVDS) by RFI Category</w:t>
      </w:r>
    </w:p>
    <w:p>
      <w:pPr>
        <w:pStyle w:val="Heading3"/>
        <w:spacing w:after="80" w:before="200"/>
      </w:pPr>
      <w:r>
        <w:rPr>
          <w:rFonts w:ascii="Arial" w:cs="Arial" w:eastAsia="Arial" w:hAnsi="Arial"/>
          <w:b/>
          <w:bCs/>
          <w:color w:val="0A1628"/>
          <w:sz w:val="26"/>
          <w:szCs w:val="26"/>
        </w:rPr>
        <w:t xml:space="preserve">MVDS for DM-RFI (20 Components):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COMPONENT</w:t>
            </w:r>
          </w:p>
        </w:tc>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VENDOR OPTION</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RANGE (₹)</w:t>
            </w:r>
          </w:p>
        </w:tc>
        <w:tc>
          <w:tcPr>
            <w:tcW w:type="dxa" w:w="2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DEPLOY TIME</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 CBS with API enablement</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 TrustBankCBS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₹50–150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12–18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Internet banking (institutional)</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CBS-bundled</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weeks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Mobile banking app (own label)</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white-label / C-Edge</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₹15–30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3–4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UPI + RuPay card issuance</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NPCI membership + C-Edge card module</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₹10–20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months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Aadhaar eKYC (full, all branches)</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UIDAI-certified via CBS vendor</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 + ₹3–5/query</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4–8 weeks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V-CIP remote account opening</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RBI-approved V-CIP vendor</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₹5–12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3–4 months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KCC LOS (AI scoring)</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LOS + satellite APIs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₹10–25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6–12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NACH / eMandate (seasonal)</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configuration + NPCI NACH</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4–6 weeks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BOU registration</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NPCI certification via SSPL</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₹5–10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3–4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Micro-ATM + AePS BC network</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BC partner + Fino/PayNearby/C-Edge</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₹15–30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months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EWS (ML-based)</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EWS platform</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₹5–15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6–9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Regulatory compliance engine</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engine</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lakhs/yr</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months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MIS / BI dashboard (Tier 3)</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BI + Power BI</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₹8–15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4–6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HRMS cloud (SSPL/GreytHR)</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GreytHR / SSPL HRMS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lakhs/yr</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weeks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DMS enterprise</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SharePoint / dedicated DMS vendor</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₹8–20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Cybersecurity (SSPL SOC)</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SOC</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lakhs/yr</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months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PMFBY auto-integration</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LOS module</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Included in LOS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 weeks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Credit bureau API</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CIBIL / Equifax via CBS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 lakhs + ₹5–10/query</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weeks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WhatsApp Banking + IVR</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API</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₹50K–1.5 lakhs/yr</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Satellite NDVI API (crop risk)</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ISRO NRSC / commercial provider</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 lakhs/yr</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months</w:t>
            </w:r>
          </w:p>
        </w:tc>
      </w:tr>
    </w:tbl>
    <w:p>
      <w:pPr>
        <w:spacing w:after="100" w:before="80" w:line="276" w:lineRule="auto"/>
        <w:jc w:val="left"/>
      </w:pPr>
      <w:r>
        <w:rPr>
          <w:rFonts w:ascii="Arial" w:cs="Arial" w:eastAsia="Arial" w:hAnsi="Arial"/>
          <w:b/>
          <w:bCs/>
          <w:i w:val="false"/>
          <w:iCs w:val="false"/>
          <w:color w:val="1A1A2E"/>
          <w:sz w:val="22"/>
          <w:szCs w:val="22"/>
        </w:rPr>
        <w:t xml:space="preserve">Total MVDS cost for DM-RFI: ₹1.5–3.5 crore one-time + ₹30–60 lakhs annual operating cost.</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MVDS for PD-RFI (12 Components):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COMPONENT</w:t>
            </w:r>
          </w:p>
        </w:tc>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VENDOR OPTION</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RANGE (₹)</w:t>
            </w:r>
          </w:p>
        </w:tc>
        <w:tc>
          <w:tcPr>
            <w:tcW w:type="dxa" w:w="2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DEPLOY TIME</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Full-mode CBS (all branches live)</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 TrustBankCBS / Virmati</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Existing licence activation</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3–6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Aadhaar eKYC (all branches)</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UIDAI via CBS vendor</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4–8 weeks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UPI QR + AePS</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NPCI + BC partner</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₹5–12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2–3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NACH seasonal mandate</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configuration</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3–4 weeks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RuPay debit card</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NPCI BIN sponsor arrangement</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₹5–10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2–3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Semi-automated compliance engine</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Phase 2 / CBS extract model</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4–8 weeks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MIS dashboard (Power BI Tier 2)</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Power BI + CBS data feed</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4–8 weeks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BC agent network with micro-ATM</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Fino/PayNearby/C-Edge BC app</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₹8–15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3–4 months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(sub-agent model)</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Tie-up with existing BOU</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months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Digital KCC form (hybrid)</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LOS basic + eKYC</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months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HRMS SaaS (GreytHR/Zoho)</w:t>
            </w:r>
          </w:p>
        </w:tc>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GreytHR / Zoho</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lakhs/yr</w:t>
            </w:r>
          </w:p>
        </w:tc>
        <w:tc>
          <w:tcPr>
            <w:tcW w:type="dxa" w:w="2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weeks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Cybersecurity minimum</w:t>
            </w:r>
          </w:p>
        </w:tc>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Defender + VPN + OTP</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lakhs/yr</w:t>
            </w:r>
          </w:p>
        </w:tc>
        <w:tc>
          <w:tcPr>
            <w:tcW w:type="dxa" w:w="2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weeks</w:t>
            </w:r>
          </w:p>
        </w:tc>
      </w:tr>
    </w:tbl>
    <w:p>
      <w:pPr>
        <w:spacing w:after="100" w:before="80" w:line="276" w:lineRule="auto"/>
        <w:jc w:val="left"/>
      </w:pPr>
      <w:r>
        <w:rPr>
          <w:rFonts w:ascii="Arial" w:cs="Arial" w:eastAsia="Arial" w:hAnsi="Arial"/>
          <w:b/>
          <w:bCs/>
          <w:i w:val="false"/>
          <w:iCs w:val="false"/>
          <w:color w:val="1A1A2E"/>
          <w:sz w:val="22"/>
          <w:szCs w:val="22"/>
        </w:rPr>
        <w:t xml:space="preserve">Total MVDS for PD-RFI: ₹35–75 lakhs one-time + ₹10–20 lakhs annual.</w:t>
      </w:r>
    </w:p>
    <w:p>
      <w:pPr>
        <w:spacing w:after="80" w:before="80"/>
      </w:pPr>
      <w:r>
        <w:t xml:space="preserve"/>
      </w:r>
    </w:p>
    <w:p>
      <w:pPr>
        <w:pStyle w:val="Heading3"/>
        <w:spacing w:after="80" w:before="200"/>
      </w:pPr>
      <w:r>
        <w:rPr>
          <w:rFonts w:ascii="Arial" w:cs="Arial" w:eastAsia="Arial" w:hAnsi="Arial"/>
          <w:b/>
          <w:bCs/>
          <w:color w:val="0A1628"/>
          <w:sz w:val="26"/>
          <w:szCs w:val="26"/>
        </w:rPr>
        <w:t xml:space="preserve">MVDS for PDC-RFI (6 Components — Absolute Minimum Floor):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4"/>
      </w:tblGrid>
      <w:tr>
        <w:trPr>
          <w:tblHeader/>
        </w:trPr>
        <w:tc>
          <w:tcPr>
            <w:tcW w:type="dxa" w:w="2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COMPONENT</w:t>
            </w:r>
          </w:p>
        </w:tc>
        <w:tc>
          <w:tcPr>
            <w:tcW w:type="dxa" w:w="3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APPROACH</w:t>
            </w:r>
          </w:p>
        </w:tc>
        <w:tc>
          <w:tcPr>
            <w:tcW w:type="dxa" w:w="37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stabilisation (all branches fully live)</w:t>
            </w:r>
          </w:p>
        </w:tc>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advisory support + vendor completion</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₹5–15 lakhs (completion cost)</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Aadhaar eKYC at branch (minimum HQ)</w:t>
            </w:r>
          </w:p>
        </w:tc>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Biometric device + UIDAI API via CBS</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AePS cash-out via BC agent (district + 1 block)</w:t>
            </w:r>
          </w:p>
        </w:tc>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BC partner deployment</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USSD *99# for customer balance inquiry</w:t>
            </w:r>
          </w:p>
        </w:tc>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NPCI NUUP registration via CBS</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₹50K–1 lakh</w:t>
            </w:r>
          </w:p>
        </w:tc>
      </w:tr>
      <w:tr>
        <w:tc>
          <w:tcPr>
            <w:tcW w:type="dxa" w:w="2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Automated NABARD OSS data extract (semi-manual)</w:t>
            </w:r>
          </w:p>
        </w:tc>
        <w:tc>
          <w:tcPr>
            <w:tcW w:type="dxa" w:w="3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extract → Excel template</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Nil (configuration)</w:t>
            </w:r>
          </w:p>
        </w:tc>
      </w:tr>
      <w:tr>
        <w:tc>
          <w:tcPr>
            <w:tcW w:type="dxa" w:w="2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Endpoint security + OTP authentication</w:t>
            </w:r>
          </w:p>
        </w:tc>
        <w:tc>
          <w:tcPr>
            <w:tcW w:type="dxa" w:w="3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Microsoft Defender + OTP module</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 lakhs/yr</w:t>
            </w:r>
          </w:p>
        </w:tc>
      </w:tr>
    </w:tbl>
    <w:p>
      <w:pPr>
        <w:spacing w:after="100" w:before="80" w:line="276" w:lineRule="auto"/>
        <w:jc w:val="left"/>
      </w:pPr>
      <w:r>
        <w:rPr>
          <w:rFonts w:ascii="Arial" w:cs="Arial" w:eastAsia="Arial" w:hAnsi="Arial"/>
          <w:b/>
          <w:bCs/>
          <w:i w:val="false"/>
          <w:iCs w:val="false"/>
          <w:color w:val="1A1A2E"/>
          <w:sz w:val="22"/>
          <w:szCs w:val="22"/>
        </w:rPr>
        <w:t xml:space="preserve">Total MVDS for PDC-RFI: ₹10–25 lakhs one-time + ₹3–5 lakhs annual.</w:t>
      </w:r>
    </w:p>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VII</w:t>
            </w:r>
          </w:p>
          <w:p>
            <w:pPr>
              <w:jc w:val="center"/>
            </w:pPr>
            <w:r>
              <w:rPr>
                <w:rFonts w:ascii="Arial" w:cs="Arial" w:eastAsia="Arial" w:hAnsi="Arial"/>
                <w:b/>
                <w:bCs/>
                <w:color w:val="FFFFFF"/>
                <w:sz w:val="28"/>
                <w:szCs w:val="28"/>
              </w:rPr>
              <w:t xml:space="preserve">Already Implemented Products — Status and Gaps</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8: Products Already Implemented — Optimisation and Gap Closure</w:t>
      </w:r>
    </w:p>
    <w:p>
      <w:pPr>
        <w:pStyle w:val="Heading2"/>
        <w:spacing w:after="120" w:before="260"/>
      </w:pPr>
      <w:r>
        <w:rPr>
          <w:rFonts w:ascii="Arial" w:cs="Arial" w:eastAsia="Arial" w:hAnsi="Arial"/>
          <w:b/>
          <w:bCs/>
          <w:color w:val="0E8A8A"/>
          <w:sz w:val="32"/>
          <w:szCs w:val="32"/>
        </w:rPr>
        <w:t xml:space="preserve">8.1 Universally Implemented Post-CBS Mandate (March 2025)</w:t>
      </w:r>
    </w:p>
    <w:p>
      <w:pPr>
        <w:pStyle w:val="Heading3"/>
        <w:spacing w:after="80" w:before="200"/>
      </w:pPr>
      <w:r>
        <w:rPr>
          <w:rFonts w:ascii="Arial" w:cs="Arial" w:eastAsia="Arial" w:hAnsi="Arial"/>
          <w:b/>
          <w:bCs/>
          <w:color w:val="0A1628"/>
          <w:sz w:val="26"/>
          <w:szCs w:val="26"/>
        </w:rPr>
        <w:t xml:space="preserve">CBS — From Compliant to Optimised</w:t>
      </w:r>
    </w:p>
    <w:p>
      <w:pPr>
        <w:spacing w:after="100" w:before="80" w:line="276" w:lineRule="auto"/>
        <w:jc w:val="both"/>
      </w:pPr>
      <w:r>
        <w:rPr>
          <w:rFonts w:ascii="Arial" w:cs="Arial" w:eastAsia="Arial" w:hAnsi="Arial"/>
          <w:b w:val="false"/>
          <w:bCs w:val="false"/>
          <w:i w:val="false"/>
          <w:iCs w:val="false"/>
          <w:color w:val="1A1A2E"/>
          <w:sz w:val="22"/>
          <w:szCs w:val="22"/>
        </w:rPr>
        <w:t xml:space="preserve">As of March 2025, all cooperative banks in India except one UCB in West Bengal have achieved CBS go-live, satisfying the RBI mandate. However, "compliant" and "optimised" are vastly different states. Compliance means transaction posting is in CBS and basic NABARD reporting is possible. Optimised means real-time inter-branch operation, API enablement for SSPL and third-party fintech integration, PACS ERP linked in real time, full loan lifecycle in CBS from origination to NPA auto-classification, and BI-connected management analytics.</w:t>
      </w:r>
    </w:p>
    <w:p>
      <w:pPr>
        <w:spacing w:after="100" w:before="80" w:line="276" w:lineRule="auto"/>
        <w:jc w:val="both"/>
      </w:pPr>
      <w:r>
        <w:rPr>
          <w:rFonts w:ascii="Arial" w:cs="Arial" w:eastAsia="Arial" w:hAnsi="Arial"/>
          <w:b w:val="false"/>
          <w:bCs w:val="false"/>
          <w:i w:val="false"/>
          <w:iCs w:val="false"/>
          <w:color w:val="1A1A2E"/>
          <w:sz w:val="22"/>
          <w:szCs w:val="22"/>
        </w:rPr>
        <w:t xml:space="preserve">Most DCCBs sit at 40–60% of CBS capability utilisation — paying for a platform they are using at half its potential. SSPL's CBS optimisation sprint — activating existing but unutilised CBS modules without new procurement — is the fastest and most cost-effective path to digital value in the entire transformation portfolio.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200"/>
        <w:gridCol w:w="2554"/>
      </w:tblGrid>
      <w:tr>
        <w:trPr>
          <w:tblHeader/>
        </w:trPr>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CBS GAP AREA</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CURRENT STATE</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OPTIMISED STATE</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CLOSE TIMELINE</w:t>
            </w:r>
          </w:p>
        </w:tc>
        <w:tc>
          <w:tcPr>
            <w:tcW w:type="dxa" w:w="25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ERP integration</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Paper / Excel data from PACS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 digital feed via API</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12–24 months</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₹5–20 lakhs</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API enablement</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 external API access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REST API for SSPL and fintech partners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3–6 months</w:t>
            </w:r>
          </w:p>
        </w:tc>
        <w:tc>
          <w:tcPr>
            <w:tcW w:type="dxa" w:w="2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₹2–8 lakhs</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auto-classification</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Manual review at 90 DPD</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Automatic CBS flag at 90 DPD</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 weeks</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 (configuration)</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NACH integration</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Not configured in CBS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Seasonal NACH live for agri loans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4–8 weeks</w:t>
            </w:r>
          </w:p>
        </w:tc>
        <w:tc>
          <w:tcPr>
            <w:tcW w:type="dxa" w:w="2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Aadhaar eKYC</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HQ branch only</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branches and PACS terminals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8–12 weeks</w:t>
            </w:r>
          </w:p>
        </w:tc>
        <w:tc>
          <w:tcPr>
            <w:tcW w:type="dxa" w:w="2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BI data feed</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 structured CBS output</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Daily CBS extract to Power BI</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4–6 weeks</w:t>
            </w:r>
          </w:p>
        </w:tc>
        <w:tc>
          <w:tcPr>
            <w:tcW w:type="dxa" w:w="2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₹50K–2 lakhs</w:t>
            </w:r>
          </w:p>
        </w:tc>
      </w:tr>
    </w:tbl>
    <w:p>
      <w:pPr>
        <w:spacing w:after="80" w:before="80"/>
      </w:pPr>
      <w:r>
        <w:t xml:space="preserve"/>
      </w:r>
    </w:p>
    <w:p>
      <w:pPr>
        <w:pStyle w:val="Heading3"/>
        <w:spacing w:after="80" w:before="200"/>
      </w:pPr>
      <w:r>
        <w:rPr>
          <w:rFonts w:ascii="Arial" w:cs="Arial" w:eastAsia="Arial" w:hAnsi="Arial"/>
          <w:b/>
          <w:bCs/>
          <w:color w:val="0A1628"/>
          <w:sz w:val="26"/>
          <w:szCs w:val="26"/>
        </w:rPr>
        <w:t xml:space="preserve">RuPay Debit Card / PMJDY — Universal Issuance, Low Activation</w:t>
      </w:r>
    </w:p>
    <w:p>
      <w:pPr>
        <w:spacing w:after="100" w:before="80" w:line="276" w:lineRule="auto"/>
        <w:jc w:val="both"/>
      </w:pPr>
      <w:r>
        <w:rPr>
          <w:rFonts w:ascii="Arial" w:cs="Arial" w:eastAsia="Arial" w:hAnsi="Arial"/>
          <w:b w:val="false"/>
          <w:bCs w:val="false"/>
          <w:i w:val="false"/>
          <w:iCs w:val="false"/>
          <w:color w:val="1A1A2E"/>
          <w:sz w:val="22"/>
          <w:szCs w:val="22"/>
        </w:rPr>
        <w:t xml:space="preserve">Over 450 million accounts have been opened under PMJDY by 2024 with RuPay cards issued. Yet POS and UPI usage rates among these accounts remain below 20% nationally. This is not a product failure — it is a merchant acceptance infrastructure failure and a BC agent activation failure. The activation strategy is: deploy mPOS at PACS counters (first card transaction in a trusted environment); enable BC agent micro-ATM acceptance of RuPay for cash withdrawal; and enrol into BBPS through BC agents using UPI-linked IDs creating recurring digital behaviour.</w:t>
      </w:r>
    </w:p>
    <w:p>
      <w:pPr>
        <w:pStyle w:val="Heading2"/>
        <w:spacing w:after="120" w:before="260"/>
      </w:pPr>
      <w:r>
        <w:rPr>
          <w:rFonts w:ascii="Arial" w:cs="Arial" w:eastAsia="Arial" w:hAnsi="Arial"/>
          <w:b/>
          <w:bCs/>
          <w:color w:val="0E8A8A"/>
          <w:sz w:val="32"/>
          <w:szCs w:val="32"/>
        </w:rPr>
        <w:t xml:space="preserve">8.2 Products Partially Implemented — Gap Analysis and Completion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000"/>
        <w:gridCol w:w="900"/>
        <w:gridCol w:w="16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CURRENT STATE</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GAP</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RECOMMENDED ACTION</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w:t>
            </w:r>
          </w:p>
        </w:tc>
        <w:tc>
          <w:tcPr>
            <w:tcW w:type="dxa" w:w="16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Aadhaar eKYC</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Live at HQ branch only</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30,000+ PACS without eKYC terminal</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Biometric device + UIDAI API at all PACS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12–18 months</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lakhs/PACS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NACH / eMandate</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Live for standard products only</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Seasonal agri repayment pattern not supported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Configure seasonal NACH mandate in CBS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4–8 weeks</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Mobile Banking / USSD</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*99# available but DCCBs not uniformly registered</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Missing NPCI NUUP registration for many DCCBs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Register with NPCI NUUP; configure USSD menu</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4–8 weeks</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₹50K–1 lakh</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MIS Reporting</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Automated at DM-RFI; fully manual at PDC-RFI</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 CBS extract template; manual compilation</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structured extract template to Power BI or Google Sheets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weeks</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₹50K–2 lakhs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BC Network</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Nominally established; many BCs inactive</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Poor incentive design; no BBPS; no device subsidy</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Revise commission; BBPS sub-agent; ₹5,000 micro-ATM subsidy per BC</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3–6 months</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₹5–15 lakhs per 100 BCs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PMFBY Auto-Enrolment</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Manual enrollment at branch counter</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 auto-deduction at KCC disbursal in CBS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LOS PMFBY config + AIDE portal integration</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4–8 weeks</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8.3 Products Not Yet Implemented — Priority List for First Movers</w:t>
      </w:r>
    </w:p>
    <w:p>
      <w:pPr>
        <w:pStyle w:val="Heading3"/>
        <w:spacing w:after="80" w:before="200"/>
      </w:pPr>
      <w:r>
        <w:rPr>
          <w:rFonts w:ascii="Arial" w:cs="Arial" w:eastAsia="Arial" w:hAnsi="Arial"/>
          <w:b/>
          <w:bCs/>
          <w:color w:val="0A1628"/>
          <w:sz w:val="26"/>
          <w:szCs w:val="26"/>
        </w:rPr>
        <w:t xml:space="preserve">AI-Powered Credit Scoring (Agri Loans)</w:t>
      </w:r>
    </w:p>
    <w:p>
      <w:pPr>
        <w:spacing w:after="100" w:before="80" w:line="276" w:lineRule="auto"/>
        <w:jc w:val="both"/>
      </w:pPr>
      <w:r>
        <w:rPr>
          <w:rFonts w:ascii="Arial" w:cs="Arial" w:eastAsia="Arial" w:hAnsi="Arial"/>
          <w:b w:val="false"/>
          <w:bCs w:val="false"/>
          <w:i w:val="false"/>
          <w:iCs w:val="false"/>
          <w:color w:val="1A1A2E"/>
          <w:sz w:val="22"/>
          <w:szCs w:val="22"/>
        </w:rPr>
        <w:t xml:space="preserve">Status: NABARD pilot in Maharashtra shows +18% credit inclusion and -22% NPA at 12 months. No DCCB has this in production as of 2025. Priority: VERY HIGH for DM-RFI. Implementation via SSPL AI engine (planned 2026) or fintech partners with cooperative banking experience. Prerequisite: minimum 24 months of clean digital CBS lending history.</w:t>
      </w:r>
    </w:p>
    <w:p>
      <w:pPr>
        <w:pStyle w:val="Heading3"/>
        <w:spacing w:after="80" w:before="200"/>
      </w:pPr>
      <w:r>
        <w:rPr>
          <w:rFonts w:ascii="Arial" w:cs="Arial" w:eastAsia="Arial" w:hAnsi="Arial"/>
          <w:b/>
          <w:bCs/>
          <w:color w:val="0A1628"/>
          <w:sz w:val="26"/>
          <w:szCs w:val="26"/>
        </w:rPr>
        <w:t xml:space="preserve">WhatsApp Banking / AI Chatbot in Regional Languages</w:t>
      </w:r>
    </w:p>
    <w:p>
      <w:pPr>
        <w:spacing w:after="100" w:before="80" w:line="276" w:lineRule="auto"/>
        <w:jc w:val="both"/>
      </w:pPr>
      <w:r>
        <w:rPr>
          <w:rFonts w:ascii="Arial" w:cs="Arial" w:eastAsia="Arial" w:hAnsi="Arial"/>
          <w:b w:val="false"/>
          <w:bCs w:val="false"/>
          <w:i w:val="false"/>
          <w:iCs w:val="false"/>
          <w:color w:val="1A1A2E"/>
          <w:sz w:val="22"/>
          <w:szCs w:val="22"/>
        </w:rPr>
        <w:t xml:space="preserve">Status: HDFC, ICICI, Axis Bank all have WhatsApp banking. Zero cooperative bank deployments. SSPL shared WhatsApp API planned for 2025–26 — the game-changing equaliser that will give all 352 DCCBs WhatsApp banking capability at ₹50,000–1,00,000 per year. Priority: HIGH for DM-RFI and PD-RFI.</w:t>
      </w:r>
    </w:p>
    <w:p>
      <w:pPr>
        <w:pStyle w:val="Heading3"/>
        <w:spacing w:after="80" w:before="200"/>
      </w:pPr>
      <w:r>
        <w:rPr>
          <w:rFonts w:ascii="Arial" w:cs="Arial" w:eastAsia="Arial" w:hAnsi="Arial"/>
          <w:b/>
          <w:bCs/>
          <w:color w:val="0A1628"/>
          <w:sz w:val="26"/>
          <w:szCs w:val="26"/>
        </w:rPr>
        <w:t xml:space="preserve">V-CIP Remote Account Opening</w:t>
      </w:r>
    </w:p>
    <w:p>
      <w:pPr>
        <w:spacing w:after="100" w:before="80" w:line="276" w:lineRule="auto"/>
        <w:jc w:val="both"/>
      </w:pPr>
      <w:r>
        <w:rPr>
          <w:rFonts w:ascii="Arial" w:cs="Arial" w:eastAsia="Arial" w:hAnsi="Arial"/>
          <w:b w:val="false"/>
          <w:bCs w:val="false"/>
          <w:i w:val="false"/>
          <w:iCs w:val="false"/>
          <w:color w:val="1A1A2E"/>
          <w:sz w:val="22"/>
          <w:szCs w:val="22"/>
        </w:rPr>
        <w:t xml:space="preserve">Status: RBI framework since 2020; commercial banks deploying for urban. Zero cooperative bank deployments. Particularly critical for migrant worker accounts and SHG expansion. Priority: HIGH for DM-RFI. Requires RBI V-CIP approval — SSPL advisory team has the regulatory pathway mapped.</w:t>
      </w:r>
    </w:p>
    <w:p>
      <w:pPr>
        <w:pStyle w:val="Heading3"/>
        <w:spacing w:after="80" w:before="200"/>
      </w:pPr>
      <w:r>
        <w:rPr>
          <w:rFonts w:ascii="Arial" w:cs="Arial" w:eastAsia="Arial" w:hAnsi="Arial"/>
          <w:b/>
          <w:bCs/>
          <w:color w:val="0A1628"/>
          <w:sz w:val="26"/>
          <w:szCs w:val="26"/>
        </w:rPr>
        <w:t xml:space="preserve">e-NWR Warehouse Receipt Lending</w:t>
      </w:r>
    </w:p>
    <w:p>
      <w:pPr>
        <w:spacing w:after="100" w:before="80" w:line="276" w:lineRule="auto"/>
        <w:jc w:val="both"/>
      </w:pPr>
      <w:r>
        <w:rPr>
          <w:rFonts w:ascii="Arial" w:cs="Arial" w:eastAsia="Arial" w:hAnsi="Arial"/>
          <w:b w:val="false"/>
          <w:bCs w:val="false"/>
          <w:i w:val="false"/>
          <w:iCs w:val="false"/>
          <w:color w:val="1A1A2E"/>
          <w:sz w:val="22"/>
          <w:szCs w:val="22"/>
        </w:rPr>
        <w:t xml:space="preserve">Status: WDRA operational e-NWR registry exists. HDFC, ICICI, Axis offer warehouse receipt finance. For DCCBs in grain-belt states, post-harvest warehouse lending at 70–80% of market value eliminates distress selling and provides farmers with the highest-value loan product available. Priority: HIGH for DM-RFI in UP, Bihar, Punjab, Haryana, MP.</w:t>
      </w:r>
    </w:p>
    <w:p>
      <w:pPr>
        <w:pStyle w:val="Heading3"/>
        <w:spacing w:after="80" w:before="200"/>
      </w:pPr>
      <w:r>
        <w:rPr>
          <w:rFonts w:ascii="Arial" w:cs="Arial" w:eastAsia="Arial" w:hAnsi="Arial"/>
          <w:b/>
          <w:bCs/>
          <w:color w:val="0A1628"/>
          <w:sz w:val="26"/>
          <w:szCs w:val="26"/>
        </w:rPr>
        <w:t xml:space="preserve">FPO Supply Chain Finance</w:t>
      </w:r>
    </w:p>
    <w:p>
      <w:pPr>
        <w:spacing w:after="100" w:before="80" w:line="276" w:lineRule="auto"/>
        <w:jc w:val="both"/>
      </w:pPr>
      <w:r>
        <w:rPr>
          <w:rFonts w:ascii="Arial" w:cs="Arial" w:eastAsia="Arial" w:hAnsi="Arial"/>
          <w:b w:val="false"/>
          <w:bCs w:val="false"/>
          <w:i w:val="false"/>
          <w:iCs w:val="false"/>
          <w:color w:val="1A1A2E"/>
          <w:sz w:val="22"/>
          <w:szCs w:val="22"/>
        </w:rPr>
        <w:t xml:space="preserve">Status: NABARD RuralTech CoLab launched at Global Fintech Fest 2025 is co-creating these models. Highest revenue-per-borrower product in the DCCB ecosystem. Working capital loans to FPOs for member farmer procurement, secured by FPO receivables. DCCB earns interest plus origination fee. Priority: VERY HIGH — first-mover advantage significant.</w:t>
      </w:r>
    </w:p>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VIII</w:t>
            </w:r>
          </w:p>
          <w:p>
            <w:pPr>
              <w:jc w:val="center"/>
            </w:pPr>
            <w:r>
              <w:rPr>
                <w:rFonts w:ascii="Arial" w:cs="Arial" w:eastAsia="Arial" w:hAnsi="Arial"/>
                <w:b/>
                <w:bCs/>
                <w:color w:val="FFFFFF"/>
                <w:sz w:val="28"/>
                <w:szCs w:val="28"/>
              </w:rPr>
              <w:t xml:space="preserve">Performance Metrics and Benchmarking Framework</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9: Comprehensive Performance Metrics, Benchmarks, and KPI Framework</w:t>
      </w:r>
    </w:p>
    <w:p>
      <w:pPr>
        <w:pStyle w:val="Heading2"/>
        <w:spacing w:after="120" w:before="260"/>
      </w:pPr>
      <w:r>
        <w:rPr>
          <w:rFonts w:ascii="Arial" w:cs="Arial" w:eastAsia="Arial" w:hAnsi="Arial"/>
          <w:b/>
          <w:bCs/>
          <w:color w:val="0E8A8A"/>
          <w:sz w:val="32"/>
          <w:szCs w:val="32"/>
        </w:rPr>
        <w:t xml:space="preserve">9.1 Master KPI Framework for DCCB Digital Transformation</w:t>
      </w:r>
    </w:p>
    <w:tbl>
      <w:tblPr>
        <w:tblW w:type="dxa" w:w="8354"/>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000"/>
        <w:gridCol w:w="1000"/>
        <w:gridCol w:w="1000"/>
        <w:gridCol w:w="1000"/>
        <w:gridCol w:w="1654"/>
      </w:tblGrid>
      <w:tr>
        <w:trPr>
          <w:tblHeader/>
        </w:trPr>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KPI</w:t>
            </w:r>
          </w:p>
        </w:tc>
        <w:tc>
          <w:tcPr>
            <w:tcW w:type="dxa" w:w="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UNIT</w:t>
            </w:r>
          </w:p>
        </w:tc>
        <w:tc>
          <w:tcPr>
            <w:tcW w:type="dxa" w:w="1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BASELINE</w:t>
            </w:r>
          </w:p>
        </w:tc>
        <w:tc>
          <w:tcPr>
            <w:tcW w:type="dxa" w:w="1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 TARGET</w:t>
            </w:r>
          </w:p>
        </w:tc>
        <w:tc>
          <w:tcPr>
            <w:tcW w:type="dxa" w:w="1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 TARGET</w:t>
            </w:r>
          </w:p>
        </w:tc>
        <w:tc>
          <w:tcPr>
            <w:tcW w:type="dxa" w:w="1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 TARGET</w:t>
            </w:r>
          </w:p>
        </w:tc>
        <w:tc>
          <w:tcPr>
            <w:tcW w:type="dxa" w:w="16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FREQUENCY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Loan TAT — KCC</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Days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14–42</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2–3</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5–7</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10–14</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Per loan</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Cost per KCC application</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₹1,200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₹250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₹750</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 avg</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loan origination %</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&lt;5%</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&gt;50%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&gt;15%</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Compliance person-hours/cycle</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Hours</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780+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&lt;90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180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390</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Per cycle</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CRAR computation accuracy</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85%</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&gt;99%</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&gt;97%</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&gt;93%</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Quarterly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OSS return error rate</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12–18%</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&lt;1%</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&lt;10%</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Per return</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Account opening time (branch)</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Minutes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days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&lt;30 min</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&lt;30 min</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 hour</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 avg</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Digital transaction % of total</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&gt;85%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&gt;45%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&gt;15%</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Query resolution TAT</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Hours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24–72 hrs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&lt;2 hrs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&lt;4 hrs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&lt;8 hrs</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 avg</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 formation rate (KCC)</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of KCC book</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8–12%</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&lt;4%</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&lt;6%</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&lt;8%</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Annual</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Pre-NPA intervention rate</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&gt;60%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&gt;40%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&gt;20%</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EWS alert precision</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&gt;75%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&gt;60%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 (rules)</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transaction vol / PACS / month</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Count</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BC agent transaction vol / month</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Count</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fee income / month</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 lakhs+</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₹75,000+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₹15,000+</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uptime %</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&gt;99.9%</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&gt;99%</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&gt;97%</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NACH repayment success rate</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72%</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&gt;85%</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&gt;78%</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MIS delivery time from EOD</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Days</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 days</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Real-time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Same day</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 day</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Daily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Staff digital literacy score</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&lt;40%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&gt;75%</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&gt;60%</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Quarterly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Training hours / staff / year</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Hours</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&lt;8</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&gt;40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&gt;25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&gt;15</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Annual</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Data entry errors / 1,000 txns</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Count</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15–20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&lt;3</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&lt;8</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New accounts opened digitally</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&gt;65%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&gt;30%</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Gram panchayat BC coverage</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&lt;5%</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&gt;60%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&gt;25%</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Annual</w:t>
            </w:r>
          </w:p>
        </w:tc>
      </w:tr>
      <w:tr>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RuPay card activation rate</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&lt;20%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&gt;85%</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&gt;60%</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&gt;40%</w:t>
            </w:r>
          </w:p>
        </w:tc>
        <w:tc>
          <w:tcPr>
            <w:tcW w:type="dxa" w:w="16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Quarterly</w:t>
            </w:r>
          </w:p>
        </w:tc>
      </w:tr>
      <w:tr>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digitally integrated</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&gt;90%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&gt;50%</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&gt;10%</w:t>
            </w:r>
          </w:p>
        </w:tc>
        <w:tc>
          <w:tcPr>
            <w:tcW w:type="dxa" w:w="16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Annual</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9.2 Time Reduction Master Table</w:t>
      </w:r>
    </w:p>
    <w:tbl>
      <w:tblPr>
        <w:tblW w:type="dxa" w:w="8354"/>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200"/>
        <w:gridCol w:w="1200"/>
        <w:gridCol w:w="1254"/>
      </w:tblGrid>
      <w:tr>
        <w:trPr>
          <w:tblHeader/>
        </w:trPr>
        <w:tc>
          <w:tcPr>
            <w:tcW w:type="dxa" w:w="2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PROCESS</w:t>
            </w:r>
          </w:p>
        </w:tc>
        <w:tc>
          <w:tcPr>
            <w:tcW w:type="dxa" w:w="13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MANUAL TIME</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 YR1</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 YR2</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 YR3</w:t>
            </w:r>
          </w:p>
        </w:tc>
        <w:tc>
          <w:tcPr>
            <w:tcW w:type="dxa" w:w="12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MAX REDUCTION</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KCC loan processing</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14–42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10–14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5–7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2–3 days</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93%</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CRAR computation</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40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 hrs</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95%</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SLR computation</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 hrs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 hrs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 hr</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99%</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NABARD NBS returns (full cycle)</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200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100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 hrs</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90%</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Account opening at branch</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45 min</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 min</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 min</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99%</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KYC verification</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3–7 days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45 min</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 min</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 min</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99%</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classification</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5–7 days (periodic)</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 day</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99%</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repayment collection</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60–80 hrs/month (field)</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40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 hrs (exceptions)</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94%</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RuPay card issuance</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7–14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 day</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Instant issuance</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99%</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PMFBY enrollment</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 days (manual)</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 day</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 min</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Auto at disbursal</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99%</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Customer complaint resolution</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3–7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 day</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 hrs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&lt;2 hrs</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97%</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Payroll processing</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4–6 days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 days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 hrs</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97%</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 audit preparation</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days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 hrs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 hr</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98%</w:t>
            </w:r>
          </w:p>
        </w:tc>
      </w:tr>
      <w:tr>
        <w:tc>
          <w:tcPr>
            <w:tcW w:type="dxa" w:w="2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Regulatory inspection data provision</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 days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 day</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 hrs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&lt;30 min</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99%</w:t>
            </w:r>
          </w:p>
        </w:tc>
      </w:tr>
      <w:tr>
        <w:tc>
          <w:tcPr>
            <w:tcW w:type="dxa" w:w="2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Credit bureau query TAT</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days (manual)</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 hrs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 min</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&lt;1 min (API)</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99%</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9.3 Cost Reduction — Per-Transaction Channel Comparison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300"/>
        <w:gridCol w:w="1500"/>
        <w:gridCol w:w="3354"/>
      </w:tblGrid>
      <w:tr>
        <w:trPr>
          <w:tblHeader/>
        </w:trPr>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CHANNEL</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 / TRANSACTION (₹)</w:t>
            </w:r>
          </w:p>
        </w:tc>
        <w:tc>
          <w:tcPr>
            <w:tcW w:type="dxa" w:w="13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VS. BRANCH BASELINE</w:t>
            </w:r>
          </w:p>
        </w:tc>
        <w:tc>
          <w:tcPr>
            <w:tcW w:type="dxa" w:w="15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RURAL VIABILITY</w:t>
            </w:r>
          </w:p>
        </w:tc>
        <w:tc>
          <w:tcPr>
            <w:tcW w:type="dxa" w:w="3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BEST USE CASE</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Branch counter (baseline)</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₹35–45</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100%</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Universal</w:t>
            </w:r>
          </w:p>
        </w:tc>
        <w:tc>
          <w:tcPr>
            <w:tcW w:type="dxa" w:w="3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Complex transactions; new accounts</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ATM withdrawal</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₹15–20</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~45%</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District HQ only</w:t>
            </w:r>
          </w:p>
        </w:tc>
        <w:tc>
          <w:tcPr>
            <w:tcW w:type="dxa" w:w="3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 withdrawal; balance</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Micro-ATM / AePS</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₹5–10</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Block level</w:t>
            </w:r>
          </w:p>
        </w:tc>
        <w:tc>
          <w:tcPr>
            <w:tcW w:type="dxa" w:w="3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Cash-out Segment B/C; doorstep</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Mobile banking</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Smartphone users</w:t>
            </w:r>
          </w:p>
        </w:tc>
        <w:tc>
          <w:tcPr>
            <w:tcW w:type="dxa" w:w="3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services for Segment A</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USSD *99#</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₹0.5–1.5</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feature phones</w:t>
            </w:r>
          </w:p>
        </w:tc>
        <w:tc>
          <w:tcPr>
            <w:tcW w:type="dxa" w:w="3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Balance; mini-statement; transfer</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UPI payment</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₹0.5–2</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Smartphone / QR</w:t>
            </w:r>
          </w:p>
        </w:tc>
        <w:tc>
          <w:tcPr>
            <w:tcW w:type="dxa" w:w="3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Merchant payment; P2P transfer</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NACH mandate collection</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vs. ₹50–80 field</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bank accounts</w:t>
            </w:r>
          </w:p>
        </w:tc>
        <w:tc>
          <w:tcPr>
            <w:tcW w:type="dxa" w:w="3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EMI / seasonal KCC repayment</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WhatsApp Banking</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₹0.5–1</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Smartphone / WhatsApp</w:t>
            </w:r>
          </w:p>
        </w:tc>
        <w:tc>
          <w:tcPr>
            <w:tcW w:type="dxa" w:w="3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Queries; status; notifications</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IVR / Missed-call</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₹0.2–0.5</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15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mobile phones</w:t>
            </w:r>
          </w:p>
        </w:tc>
        <w:tc>
          <w:tcPr>
            <w:tcW w:type="dxa" w:w="3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Balance for feature phones</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 (bill collection)</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Revenue ₹3–5</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Revenue-generating</w:t>
            </w:r>
          </w:p>
        </w:tc>
        <w:tc>
          <w:tcPr>
            <w:tcW w:type="dxa" w:w="15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rural areas via BC</w:t>
            </w:r>
          </w:p>
        </w:tc>
        <w:tc>
          <w:tcPr>
            <w:tcW w:type="dxa" w:w="3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Utility bill collection at PACS / BC</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9.4 Revenue Uplift Projections — Typical Mid-Size DCCB (₹500 Cr Book, 50,000 Accounts, 100 PACS)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200"/>
        <w:gridCol w:w="2354"/>
      </w:tblGrid>
      <w:tr>
        <w:trPr>
          <w:tblHeader/>
        </w:trPr>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REVENUE MECHANISM</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VOLUME ASSUMPTION</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REVENUE / UNIT</w:t>
            </w:r>
          </w:p>
        </w:tc>
        <w:tc>
          <w:tcPr>
            <w:tcW w:type="dxa" w:w="23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ANNUAL REVENUE (₹)</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bill collection</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Commission per bill</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100 PACS × 600 txns/month</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 / txn</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₹28.8 lakhs</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AePS via BC (if DCCB is BOU)</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Commission to DCCB</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200 BCs × 30 txns/day × 300 days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 / txn</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₹27 lakhs</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PMSBY enrollment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Commission per enrolment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5,000 accounts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 / account</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₹40,000</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PMJJBY enrollment</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Commission per enrolment</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5,000 accounts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 / account</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₹60,000</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APY enrollment (PFRDA)</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PFRDA incentive per enrollee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 enrollments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₹120 / enrollee</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₹60,000</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KCC TAT reduction (net interest)</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Additional lending days gained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10,000 KCC × 30 days × 7%</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Net interest income</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₹5.75 crore</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provision reduction (EWS)</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Avoided provisioning</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₹500 Cr × 9% NPA × 25% EWS × 25% prov</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Provision saving</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₹28.1 lakhs</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FPO supply chain finance</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Interest on working capital loans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 FPOs × ₹1 Cr avg × 12% interest</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Net interest</w:t>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 lakhs</w:t>
            </w:r>
          </w:p>
        </w:tc>
      </w:tr>
      <w:tr>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Insurance tie-up distribution</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 first-year commission</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 lakhs premium placed</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15% commission</w:t>
            </w:r>
          </w:p>
        </w:tc>
        <w:tc>
          <w:tcPr>
            <w:tcW w:type="dxa" w:w="23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₹7.5 lakhs</w:t>
            </w:r>
          </w:p>
        </w:tc>
      </w:tr>
      <w:tr>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TOTAL ANNUAL REVENUE UPLIFT</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w:r>
          </w:p>
        </w:tc>
        <w:tc>
          <w:tcPr>
            <w:tcW w:type="dxa" w:w="23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₹7.5–8.5 crore/year</w:t>
            </w:r>
          </w:p>
        </w:tc>
      </w:tr>
    </w:tbl>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IX</w:t>
            </w:r>
          </w:p>
          <w:p>
            <w:pPr>
              <w:jc w:val="center"/>
            </w:pPr>
            <w:r>
              <w:rPr>
                <w:rFonts w:ascii="Arial" w:cs="Arial" w:eastAsia="Arial" w:hAnsi="Arial"/>
                <w:b/>
                <w:bCs/>
                <w:color w:val="FFFFFF"/>
                <w:sz w:val="28"/>
                <w:szCs w:val="28"/>
              </w:rPr>
              <w:t xml:space="preserve">Strategic Roadmap and SSPL Advisory Calendar</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10: 36-Month Strategic Implementation Roadmap</w:t>
      </w:r>
    </w:p>
    <w:p>
      <w:pPr>
        <w:pStyle w:val="Heading2"/>
        <w:spacing w:after="120" w:before="260"/>
      </w:pPr>
      <w:r>
        <w:rPr>
          <w:rFonts w:ascii="Arial" w:cs="Arial" w:eastAsia="Arial" w:hAnsi="Arial"/>
          <w:b/>
          <w:bCs/>
          <w:color w:val="0E8A8A"/>
          <w:sz w:val="32"/>
          <w:szCs w:val="32"/>
        </w:rPr>
        <w:t xml:space="preserve">10.1 Master Implementation Roadmap</w:t>
      </w:r>
    </w:p>
    <w:tbl>
      <w:tblPr>
        <w:tblW w:type="dxa" w:w="7354"/>
        <w:tblBorders>
          <w:top w:val="single" w:color="auto" w:sz="4"/>
          <w:left w:val="single" w:color="auto" w:sz="4"/>
          <w:bottom w:val="single" w:color="auto" w:sz="4"/>
          <w:right w:val="single" w:color="auto" w:sz="4"/>
          <w:insideH w:val="single" w:color="auto" w:sz="4"/>
          <w:insideV w:val="single" w:color="auto" w:sz="4"/>
        </w:tblBorders>
      </w:tblPr>
      <w:tblGrid>
        <w:gridCol w:w="1700"/>
        <w:gridCol w:w="630"/>
        <w:gridCol w:w="630"/>
        <w:gridCol w:w="630"/>
        <w:gridCol w:w="630"/>
        <w:gridCol w:w="630"/>
        <w:gridCol w:w="630"/>
        <w:gridCol w:w="1874"/>
      </w:tblGrid>
      <w:tr>
        <w:trPr>
          <w:tblHeader/>
        </w:trPr>
        <w:tc>
          <w:tcPr>
            <w:tcW w:type="dxa" w:w="1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INITIATIVE</w:t>
            </w:r>
          </w:p>
        </w:tc>
        <w:tc>
          <w:tcPr>
            <w:tcW w:type="dxa" w:w="63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 START</w:t>
            </w:r>
          </w:p>
        </w:tc>
        <w:tc>
          <w:tcPr>
            <w:tcW w:type="dxa" w:w="63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 END</w:t>
            </w:r>
          </w:p>
        </w:tc>
        <w:tc>
          <w:tcPr>
            <w:tcW w:type="dxa" w:w="63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 START</w:t>
            </w:r>
          </w:p>
        </w:tc>
        <w:tc>
          <w:tcPr>
            <w:tcW w:type="dxa" w:w="63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 END</w:t>
            </w:r>
          </w:p>
        </w:tc>
        <w:tc>
          <w:tcPr>
            <w:tcW w:type="dxa" w:w="63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 START</w:t>
            </w:r>
          </w:p>
        </w:tc>
        <w:tc>
          <w:tcPr>
            <w:tcW w:type="dxa" w:w="63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 END</w:t>
            </w:r>
          </w:p>
        </w:tc>
        <w:tc>
          <w:tcPr>
            <w:tcW w:type="dxa" w:w="187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PRIORITY</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stabilisation / all branches</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Complete</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Ongoing</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Aadhaar eKYC (all branches)</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Complete</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Extend PACS</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Regulatory compliance engine</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M2</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AePS / BC agent deployment</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M9</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USSD *99# / Mobile Banking</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M2</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NACH seasonal mandate</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M8</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RuPay card issuance (60%+)</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M9</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Digital KCC LOS</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M24</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Early Warning System</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M30</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M9</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M9</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MIS / BI Dashboard</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M10</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sub-agent / BOU</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M8</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HRMS (cloud SaaS)</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M2</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Cybersecurity (SSPL SOC)</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M9</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M2</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M4</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 ERP integration (50%+)</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M36</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M30</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WhatsApp Banking / IVR</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Document Management (DMS)</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M9</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M9</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V-CIP remote account opening</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M24</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AI Credit Scoring</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M30</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DM</w:t>
            </w:r>
          </w:p>
        </w:tc>
      </w:tr>
      <w:tr>
        <w:tc>
          <w:tcPr>
            <w:tcW w:type="dxa" w:w="1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FPO Supply Chain Finance</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M24</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63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187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 DM</w:t>
            </w:r>
          </w:p>
        </w:tc>
      </w:tr>
      <w:tr>
        <w:tc>
          <w:tcPr>
            <w:tcW w:type="dxa" w:w="1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e-NWR Warehouse Finance</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N/R</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63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M36</w:t>
            </w:r>
          </w:p>
        </w:tc>
        <w:tc>
          <w:tcPr>
            <w:tcW w:type="dxa" w:w="187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 DM</w:t>
            </w:r>
          </w:p>
        </w:tc>
      </w:tr>
    </w:tbl>
    <w:p>
      <w:pPr>
        <w:spacing w:after="100" w:before="80" w:line="276" w:lineRule="auto"/>
        <w:jc w:val="left"/>
      </w:pPr>
      <w:r>
        <w:rPr>
          <w:rFonts w:ascii="Arial" w:cs="Arial" w:eastAsia="Arial" w:hAnsi="Arial"/>
          <w:b w:val="false"/>
          <w:bCs w:val="false"/>
          <w:i/>
          <w:iCs/>
          <w:color w:val="1A1A2E"/>
          <w:sz w:val="22"/>
          <w:szCs w:val="22"/>
        </w:rPr>
        <w:t xml:space="preserve">N/R = Not Recommended for category. M = Month from project start. ★ = Priority level.</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10.2 Phase-by-Phase Narrative</w:t>
      </w:r>
    </w:p>
    <w:p>
      <w:pPr>
        <w:pStyle w:val="Heading3"/>
        <w:spacing w:after="80" w:before="200"/>
      </w:pPr>
      <w:r>
        <w:rPr>
          <w:rFonts w:ascii="Arial" w:cs="Arial" w:eastAsia="Arial" w:hAnsi="Arial"/>
          <w:b/>
          <w:bCs/>
          <w:color w:val="0A1628"/>
          <w:sz w:val="26"/>
          <w:szCs w:val="26"/>
        </w:rPr>
        <w:t xml:space="preserve">DM-RFI Phase 1 (Months 0–6): API Enablement and Full Channel Activation</w:t>
      </w:r>
    </w:p>
    <w:p>
      <w:pPr>
        <w:spacing w:after="100" w:before="80" w:line="276" w:lineRule="auto"/>
        <w:jc w:val="both"/>
      </w:pPr>
      <w:r>
        <w:rPr>
          <w:rFonts w:ascii="Arial" w:cs="Arial" w:eastAsia="Arial" w:hAnsi="Arial"/>
          <w:b w:val="false"/>
          <w:bCs w:val="false"/>
          <w:i w:val="false"/>
          <w:iCs w:val="false"/>
          <w:color w:val="1A1A2E"/>
          <w:sz w:val="22"/>
          <w:szCs w:val="22"/>
        </w:rPr>
        <w:t xml:space="preserve">DM-RFIs enter Phase 1 with CBS operational and basic digital transactions flowing. Phase 1 unlocks the CBS's untapped potential through API enablement — exposing REST APIs to SSPL's shared platforms and fintech partners. Mobile banking via SSPL white-label app is activated with regional language support and KCC-specific features. WhatsApp banking via SSPL shared API goes live. The regulatory compliance engine connects to CBS, immediately eliminating manual CRAR/SLR computation. BBPS BOU registration is initiated with NPCI. Target by Month 6: 40%+ digital transactions; compliance cycle at 30 days; 2,000+ mobile app active users.</w:t>
      </w:r>
    </w:p>
    <w:p>
      <w:pPr>
        <w:pStyle w:val="Heading3"/>
        <w:spacing w:after="80" w:before="200"/>
      </w:pPr>
      <w:r>
        <w:rPr>
          <w:rFonts w:ascii="Arial" w:cs="Arial" w:eastAsia="Arial" w:hAnsi="Arial"/>
          <w:b/>
          <w:bCs/>
          <w:color w:val="0A1628"/>
          <w:sz w:val="26"/>
          <w:szCs w:val="26"/>
        </w:rPr>
        <w:t xml:space="preserve">DM-RFI Phase 2 (Months 6–18): AI Integration and Revenue Products</w:t>
      </w:r>
    </w:p>
    <w:p>
      <w:pPr>
        <w:spacing w:after="100" w:before="80" w:line="276" w:lineRule="auto"/>
        <w:jc w:val="both"/>
      </w:pPr>
      <w:r>
        <w:rPr>
          <w:rFonts w:ascii="Arial" w:cs="Arial" w:eastAsia="Arial" w:hAnsi="Arial"/>
          <w:b w:val="false"/>
          <w:bCs w:val="false"/>
          <w:i w:val="false"/>
          <w:iCs w:val="false"/>
          <w:color w:val="1A1A2E"/>
          <w:sz w:val="22"/>
          <w:szCs w:val="22"/>
        </w:rPr>
        <w:t xml:space="preserve">The NPA Early Warning System is deployed using SSPL shared ML platform — CBS data plus NACH bounce signals initially, with satellite NDVI and weather API added for full ML alert capability. Digital KCC LOS is upgraded to fully AI-assisted mode with Bhulekh land records API and PM Kisan integration. PMFBY auto-enrolment achieves 98%+ at KCC disbursal. FPO working capital loan products are formalised. Target by Month 18: NPA formation 20% lower; AI scoring for 50%+ new KCC applications; BBPS generating ₹1 lakh+ monthly.</w:t>
      </w:r>
    </w:p>
    <w:p>
      <w:pPr>
        <w:pStyle w:val="Heading3"/>
        <w:spacing w:after="80" w:before="200"/>
      </w:pPr>
      <w:r>
        <w:rPr>
          <w:rFonts w:ascii="Arial" w:cs="Arial" w:eastAsia="Arial" w:hAnsi="Arial"/>
          <w:b/>
          <w:bCs/>
          <w:color w:val="0A1628"/>
          <w:sz w:val="26"/>
          <w:szCs w:val="26"/>
        </w:rPr>
        <w:t xml:space="preserve">DM-RFI Phase 3 (Months 18–36): Full Digital Maturity and SSPL SOC</w:t>
      </w:r>
    </w:p>
    <w:p>
      <w:pPr>
        <w:spacing w:after="100" w:before="80" w:line="276" w:lineRule="auto"/>
        <w:jc w:val="both"/>
      </w:pPr>
      <w:r>
        <w:rPr>
          <w:rFonts w:ascii="Arial" w:cs="Arial" w:eastAsia="Arial" w:hAnsi="Arial"/>
          <w:b w:val="false"/>
          <w:bCs w:val="false"/>
          <w:i w:val="false"/>
          <w:iCs w:val="false"/>
          <w:color w:val="1A1A2E"/>
          <w:sz w:val="22"/>
          <w:szCs w:val="22"/>
        </w:rPr>
        <w:t xml:space="preserve">Satellite NDVI integration is extended to real-time crop risk in daily credit decisions. PACS ERP integration reaches 90%+ of PACS. SSPL SOC connectivity activated for 24x7 cybersecurity monitoring. e-NWR warehouse receipt financing is launched for grain-belt clients. FPO supply chain finance fully operational at ₹60+ lakhs annual interest income. ADEI score target: 75+/100 by Year 3.</w:t>
      </w:r>
    </w:p>
    <w:p>
      <w:pPr>
        <w:pStyle w:val="Heading3"/>
        <w:spacing w:after="80" w:before="200"/>
      </w:pPr>
      <w:r>
        <w:rPr>
          <w:rFonts w:ascii="Arial" w:cs="Arial" w:eastAsia="Arial" w:hAnsi="Arial"/>
          <w:b/>
          <w:bCs/>
          <w:color w:val="0A1628"/>
          <w:sz w:val="26"/>
          <w:szCs w:val="26"/>
        </w:rPr>
        <w:t xml:space="preserve">PD-RFI Phase 1 (Months 0–6): Foundation Completion</w:t>
      </w:r>
    </w:p>
    <w:p>
      <w:pPr>
        <w:spacing w:after="100" w:before="80" w:line="276" w:lineRule="auto"/>
        <w:jc w:val="both"/>
      </w:pPr>
      <w:r>
        <w:rPr>
          <w:rFonts w:ascii="Arial" w:cs="Arial" w:eastAsia="Arial" w:hAnsi="Arial"/>
          <w:b w:val="false"/>
          <w:bCs w:val="false"/>
          <w:i w:val="false"/>
          <w:iCs w:val="false"/>
          <w:color w:val="1A1A2E"/>
          <w:sz w:val="22"/>
          <w:szCs w:val="22"/>
        </w:rPr>
        <w:t xml:space="preserve">All branches brought fully online in real-time CBS. PACS data quality audit identifies and corrects inconsistencies. Seasonal NACH mandate configured and piloted for 500+ loan accounts. BC agent network expansion with micro-ATM at block-level PACS. Compliance engine Phase 1 (CBS extract to structured Excel) reduces compliance cycle from 63 to 45 days immediately. Target: 100% branches on CBS; 30% digital transactions; NACH covering 20% of loan accounts.</w:t>
      </w:r>
    </w:p>
    <w:p>
      <w:pPr>
        <w:pStyle w:val="Heading3"/>
        <w:spacing w:after="80" w:before="200"/>
      </w:pPr>
      <w:r>
        <w:rPr>
          <w:rFonts w:ascii="Arial" w:cs="Arial" w:eastAsia="Arial" w:hAnsi="Arial"/>
          <w:b/>
          <w:bCs/>
          <w:color w:val="0A1628"/>
          <w:sz w:val="26"/>
          <w:szCs w:val="26"/>
        </w:rPr>
        <w:t xml:space="preserve">PD-RFI Phase 2 (Months 6–18): Analytics and Product Expansion</w:t>
      </w:r>
    </w:p>
    <w:p>
      <w:pPr>
        <w:spacing w:after="100" w:before="80" w:line="276" w:lineRule="auto"/>
        <w:jc w:val="both"/>
      </w:pPr>
      <w:r>
        <w:rPr>
          <w:rFonts w:ascii="Arial" w:cs="Arial" w:eastAsia="Arial" w:hAnsi="Arial"/>
          <w:b w:val="false"/>
          <w:bCs w:val="false"/>
          <w:i w:val="false"/>
          <w:iCs w:val="false"/>
          <w:color w:val="1A1A2E"/>
          <w:sz w:val="22"/>
          <w:szCs w:val="22"/>
        </w:rPr>
        <w:t xml:space="preserve">Power BI MIS connected to CBS feed gives branch managers real-time portfolio visibility. Rules-based NPA EWS generates daily follow-up lists for recovery teams. Digital KCC LOS hybrid reduces loan TAT from 14 days to 5–7 days. BBPS sub-agent activation begins generating commission income. Target by Month 18: NPA formation 15% lower; 50%+ digital transactions; ₹75,000+ monthly BBPS commission.</w:t>
      </w:r>
    </w:p>
    <w:p>
      <w:pPr>
        <w:pStyle w:val="Heading3"/>
        <w:spacing w:after="80" w:before="200"/>
      </w:pPr>
      <w:r>
        <w:rPr>
          <w:rFonts w:ascii="Arial" w:cs="Arial" w:eastAsia="Arial" w:hAnsi="Arial"/>
          <w:b/>
          <w:bCs/>
          <w:color w:val="0A1628"/>
          <w:sz w:val="26"/>
          <w:szCs w:val="26"/>
        </w:rPr>
        <w:t xml:space="preserve">PD-RFI Phase 3 (Months 18–36): Transition to DM-RFI</w:t>
      </w:r>
    </w:p>
    <w:p>
      <w:pPr>
        <w:spacing w:after="100" w:before="80" w:line="276" w:lineRule="auto"/>
        <w:jc w:val="both"/>
      </w:pPr>
      <w:r>
        <w:rPr>
          <w:rFonts w:ascii="Arial" w:cs="Arial" w:eastAsia="Arial" w:hAnsi="Arial"/>
          <w:b w:val="false"/>
          <w:bCs w:val="false"/>
          <w:i w:val="false"/>
          <w:iCs w:val="false"/>
          <w:color w:val="1A1A2E"/>
          <w:sz w:val="22"/>
          <w:szCs w:val="22"/>
        </w:rPr>
        <w:t xml:space="preserve">Full digital KCC LOS deployed with Bhulekh API. SSPL WhatsApp banking activated in regional language. PACS ERP integration reaches 50%+ of PACS. V-CIP remote account opening deployed. BBPS BOU upgrade from sub-agent status. ADEI score 60+/100 by Month 36 triggers formal DM-RFI upgrade review.</w:t>
      </w:r>
    </w:p>
    <w:p>
      <w:pPr>
        <w:pStyle w:val="Heading3"/>
        <w:spacing w:after="80" w:before="200"/>
      </w:pPr>
      <w:r>
        <w:rPr>
          <w:rFonts w:ascii="Arial" w:cs="Arial" w:eastAsia="Arial" w:hAnsi="Arial"/>
          <w:b/>
          <w:bCs/>
          <w:color w:val="0A1628"/>
          <w:sz w:val="26"/>
          <w:szCs w:val="26"/>
        </w:rPr>
        <w:t xml:space="preserve">PDC-RFI Phase 1 (Months 0–6): Stabilise the Foundation</w:t>
      </w:r>
    </w:p>
    <w:p>
      <w:pPr>
        <w:spacing w:after="100" w:before="80" w:line="276" w:lineRule="auto"/>
        <w:jc w:val="both"/>
      </w:pPr>
      <w:r>
        <w:rPr>
          <w:rFonts w:ascii="Arial" w:cs="Arial" w:eastAsia="Arial" w:hAnsi="Arial"/>
          <w:b w:val="false"/>
          <w:bCs w:val="false"/>
          <w:i w:val="false"/>
          <w:iCs w:val="false"/>
          <w:color w:val="1A1A2E"/>
          <w:sz w:val="22"/>
          <w:szCs w:val="22"/>
        </w:rPr>
        <w:t xml:space="preserve">CBS stabilisation is the sole technology priority — eliminating offline branches, resolving data quality issues, ensuring daily balancing. SSPL initiates a 3-month staff digital literacy programme: 40-hour curriculum covering CBS operation, eKYC, basic MIS Excel, and customer digital service protocols. Aadhaar eKYC deployed at HQ branch. BharatNet or BSNL connectivity confirmed at all branches as Phase 2 prerequisite. Target: CBS reliable at all branches; HQ eKYC live; 100% staff CBS-proficient.</w:t>
      </w:r>
    </w:p>
    <w:p>
      <w:pPr>
        <w:pStyle w:val="Heading3"/>
        <w:spacing w:after="80" w:before="200"/>
      </w:pPr>
      <w:r>
        <w:rPr>
          <w:rFonts w:ascii="Arial" w:cs="Arial" w:eastAsia="Arial" w:hAnsi="Arial"/>
          <w:b/>
          <w:bCs/>
          <w:color w:val="0A1628"/>
          <w:sz w:val="26"/>
          <w:szCs w:val="26"/>
        </w:rPr>
        <w:t xml:space="preserve">PDC-RFI Phase 2 (Months 6–18): First Digital Products</w:t>
      </w:r>
    </w:p>
    <w:p>
      <w:pPr>
        <w:spacing w:after="100" w:before="80" w:line="276" w:lineRule="auto"/>
        <w:jc w:val="both"/>
      </w:pPr>
      <w:r>
        <w:rPr>
          <w:rFonts w:ascii="Arial" w:cs="Arial" w:eastAsia="Arial" w:hAnsi="Arial"/>
          <w:b w:val="false"/>
          <w:bCs w:val="false"/>
          <w:i w:val="false"/>
          <w:iCs w:val="false"/>
          <w:color w:val="1A1A2E"/>
          <w:sz w:val="22"/>
          <w:szCs w:val="22"/>
        </w:rPr>
        <w:t xml:space="preserve">AePS BC agent deployed at district HQ and 2–3 block-level PACS. USSD *99# registration enables all mobile users to check balances. Semi-automated compliance engine reduces NABARD cycle from 63+ days to 45 days with 40% fewer person-hours. RuPay card issuance commences for all new accounts. Target: 15%+ digital transactions; AePS live in district area; compliance cycle at 45 days.</w:t>
      </w:r>
    </w:p>
    <w:p>
      <w:pPr>
        <w:pStyle w:val="Heading3"/>
        <w:spacing w:after="80" w:before="200"/>
      </w:pPr>
      <w:r>
        <w:rPr>
          <w:rFonts w:ascii="Arial" w:cs="Arial" w:eastAsia="Arial" w:hAnsi="Arial"/>
          <w:b/>
          <w:bCs/>
          <w:color w:val="0A1628"/>
          <w:sz w:val="26"/>
          <w:szCs w:val="26"/>
        </w:rPr>
        <w:t xml:space="preserve">PDC-RFI Phase 3 (Months 18–36): Mobile Banking and NACH</w:t>
      </w:r>
    </w:p>
    <w:p>
      <w:pPr>
        <w:spacing w:after="100" w:before="80" w:line="276" w:lineRule="auto"/>
        <w:jc w:val="both"/>
      </w:pPr>
      <w:r>
        <w:rPr>
          <w:rFonts w:ascii="Arial" w:cs="Arial" w:eastAsia="Arial" w:hAnsi="Arial"/>
          <w:b w:val="false"/>
          <w:bCs w:val="false"/>
          <w:i w:val="false"/>
          <w:iCs w:val="false"/>
          <w:color w:val="1A1A2E"/>
          <w:sz w:val="22"/>
          <w:szCs w:val="22"/>
        </w:rPr>
        <w:t xml:space="preserve">SSPL white-label mobile banking app deployed. NACH seasonal mandate introduced for KCC repayment. PACS ERP pilot at 3–5 highest-quality PACS. ADEI score 30+/100 by Month 36 triggers PD-RFI upgrade and new 3-year roadmap.</w:t>
      </w:r>
    </w:p>
    <w:p>
      <w:pPr>
        <w:pStyle w:val="Heading2"/>
        <w:spacing w:after="120" w:before="260"/>
      </w:pPr>
      <w:r>
        <w:rPr>
          <w:rFonts w:ascii="Arial" w:cs="Arial" w:eastAsia="Arial" w:hAnsi="Arial"/>
          <w:b/>
          <w:bCs/>
          <w:color w:val="0E8A8A"/>
          <w:sz w:val="32"/>
          <w:szCs w:val="32"/>
        </w:rPr>
        <w:t xml:space="preserve">10.3 SSPL Annual Advisory Calendar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000"/>
        <w:gridCol w:w="4054"/>
      </w:tblGrid>
      <w:tr>
        <w:trPr>
          <w:tblHeader/>
        </w:trPr>
        <w:tc>
          <w:tcPr>
            <w:tcW w:type="dxa" w:w="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MONTH</w:t>
            </w:r>
          </w:p>
        </w:tc>
        <w:tc>
          <w:tcPr>
            <w:tcW w:type="dxa" w:w="2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SSPL ACTIVITY</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DCCB DELIVERABLE</w:t>
            </w:r>
          </w:p>
        </w:tc>
        <w:tc>
          <w:tcPr>
            <w:tcW w:type="dxa" w:w="40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OUTPUT</w:t>
            </w:r>
          </w:p>
        </w:tc>
      </w:tr>
      <w:tr>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Baseline diagnostic — GBPEM scoring; infrastructure audit; staff capability assessment</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Data provision; branch visits</w:t>
            </w:r>
          </w:p>
        </w:tc>
        <w:tc>
          <w:tcPr>
            <w:tcW w:type="dxa" w:w="4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RFI Category classification; ADEI baseline score</w:t>
            </w:r>
          </w:p>
        </w:tc>
      </w:tr>
      <w:tr>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w:t>
            </w:r>
          </w:p>
        </w:tc>
        <w:tc>
          <w:tcPr>
            <w:tcW w:type="dxa" w:w="2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Product recommendation report delivered to DCCB Board</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Board presentation; product approval</w:t>
            </w:r>
          </w:p>
        </w:tc>
        <w:tc>
          <w:tcPr>
            <w:tcW w:type="dxa" w:w="4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Signed 3-year roadmap with priority products</w:t>
            </w:r>
          </w:p>
        </w:tc>
      </w:tr>
      <w:tr>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M4–6</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1 implementation handholding; vendor coordination; staff training</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1 product deployment; KPI baseline</w:t>
            </w:r>
          </w:p>
        </w:tc>
        <w:tc>
          <w:tcPr>
            <w:tcW w:type="dxa" w:w="4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1 go-live; first KPI measurement</w:t>
            </w:r>
          </w:p>
        </w:tc>
      </w:tr>
      <w:tr>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M6</w:t>
            </w:r>
          </w:p>
        </w:tc>
        <w:tc>
          <w:tcPr>
            <w:tcW w:type="dxa" w:w="2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First performance review — Phase 1 KPI vs. targets; issue resolution</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KPI report submission</w:t>
            </w:r>
          </w:p>
        </w:tc>
        <w:tc>
          <w:tcPr>
            <w:tcW w:type="dxa" w:w="4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Phase 1 performance card; adjusted Phase 2 targets</w:t>
            </w:r>
          </w:p>
        </w:tc>
      </w:tr>
      <w:tr>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M7–12</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2 implementation support; API integration oversight; BC monitoring</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2 deployment</w:t>
            </w:r>
          </w:p>
        </w:tc>
        <w:tc>
          <w:tcPr>
            <w:tcW w:type="dxa" w:w="4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Monthly milestone tracking reports</w:t>
            </w:r>
          </w:p>
        </w:tc>
      </w:tr>
      <w:tr>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M12</w:t>
            </w:r>
          </w:p>
        </w:tc>
        <w:tc>
          <w:tcPr>
            <w:tcW w:type="dxa" w:w="2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Annual ADEI score published; state peer benchmarking report for all DCCBs</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KPI dataset</w:t>
            </w:r>
          </w:p>
        </w:tc>
        <w:tc>
          <w:tcPr>
            <w:tcW w:type="dxa" w:w="4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ADEI score; state rank; NABARD visibility</w:t>
            </w:r>
          </w:p>
        </w:tc>
      </w:tr>
      <w:tr>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M13–18</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2 completion; Phase 3 preparation; PACS integration planning</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3 vendor selection; PACS audit</w:t>
            </w:r>
          </w:p>
        </w:tc>
        <w:tc>
          <w:tcPr>
            <w:tcW w:type="dxa" w:w="4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3 implementation plan approved</w:t>
            </w:r>
          </w:p>
        </w:tc>
      </w:tr>
      <w:tr>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M18</w:t>
            </w:r>
          </w:p>
        </w:tc>
        <w:tc>
          <w:tcPr>
            <w:tcW w:type="dxa" w:w="2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Mid-term review; RFI category upgrade assessment (PDC→PD? PD→DM?)</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capability self-assessment</w:t>
            </w:r>
          </w:p>
        </w:tc>
        <w:tc>
          <w:tcPr>
            <w:tcW w:type="dxa" w:w="4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RFI upgrade decision; revised Phase 3 targets</w:t>
            </w:r>
          </w:p>
        </w:tc>
      </w:tr>
      <w:tr>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M19–30</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3 implementation; advanced products (AI scoring, e-NWR, FPO finance)</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3 milestones</w:t>
            </w:r>
          </w:p>
        </w:tc>
        <w:tc>
          <w:tcPr>
            <w:tcW w:type="dxa" w:w="4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Quarterly NABARD progress reports</w:t>
            </w:r>
          </w:p>
        </w:tc>
      </w:tr>
      <w:tr>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M30</w:t>
            </w:r>
          </w:p>
        </w:tc>
        <w:tc>
          <w:tcPr>
            <w:tcW w:type="dxa" w:w="2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capability assessment; NABARD OSS audit of digital compliance</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Audit preparation</w:t>
            </w:r>
          </w:p>
        </w:tc>
        <w:tc>
          <w:tcPr>
            <w:tcW w:type="dxa" w:w="4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Digital compliance certificate</w:t>
            </w:r>
          </w:p>
        </w:tc>
      </w:tr>
      <w:tr>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M36</w:t>
            </w:r>
          </w:p>
        </w:tc>
        <w:tc>
          <w:tcPr>
            <w:tcW w:type="dxa" w:w="2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Final 3-year performance report; next 3-year roadmap initiated</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 KPI history; ADEI Year 3</w:t>
            </w:r>
          </w:p>
        </w:tc>
        <w:tc>
          <w:tcPr>
            <w:tcW w:type="dxa" w:w="4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Year 3 report; new roadmap approved by DCCB Board</w:t>
            </w:r>
          </w:p>
        </w:tc>
      </w:tr>
    </w:tbl>
    <w:p>
      <w:pPr>
        <w:spacing w:after="80" w:before="80"/>
      </w:pPr>
      <w:r>
        <w:t xml:space="preserve"/>
      </w:r>
    </w:p>
    <w:p>
      <w:r>
        <w:br w:type="pag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jc w:val="center"/>
            </w:pPr>
            <w:r>
              <w:rPr>
                <w:rFonts w:ascii="Arial" w:cs="Arial" w:eastAsia="Arial" w:hAnsi="Arial"/>
                <w:b/>
                <w:bCs/>
                <w:color w:val="14B8B8"/>
                <w:sz w:val="20"/>
                <w:szCs w:val="20"/>
              </w:rPr>
              <w:t xml:space="preserve">PART X</w:t>
            </w:r>
          </w:p>
          <w:p>
            <w:pPr>
              <w:jc w:val="center"/>
            </w:pPr>
            <w:r>
              <w:rPr>
                <w:rFonts w:ascii="Arial" w:cs="Arial" w:eastAsia="Arial" w:hAnsi="Arial"/>
                <w:b/>
                <w:bCs/>
                <w:color w:val="FFFFFF"/>
                <w:sz w:val="28"/>
                <w:szCs w:val="28"/>
              </w:rPr>
              <w:t xml:space="preserve">Strategic Conclusion and Recommendation Matrix</w:t>
            </w:r>
          </w:p>
        </w:tc>
      </w:tr>
    </w:tbl>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Section 11: Strategic Conclusions and the SSPL Recommendation Matrix</w:t>
      </w:r>
    </w:p>
    <w:p>
      <w:pPr>
        <w:pStyle w:val="Heading2"/>
        <w:spacing w:after="120" w:before="260"/>
      </w:pPr>
      <w:r>
        <w:rPr>
          <w:rFonts w:ascii="Arial" w:cs="Arial" w:eastAsia="Arial" w:hAnsi="Arial"/>
          <w:b/>
          <w:bCs/>
          <w:color w:val="0E8A8A"/>
          <w:sz w:val="32"/>
          <w:szCs w:val="32"/>
        </w:rPr>
        <w:t xml:space="preserve">11.1 Prioritised Product Recommendation by RFI Category</w:t>
      </w:r>
    </w:p>
    <w:tbl>
      <w:tblPr>
        <w:tblW w:type="dxa" w:w="8354"/>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1600"/>
        <w:gridCol w:w="1600"/>
        <w:gridCol w:w="1254"/>
      </w:tblGrid>
      <w:tr>
        <w:trPr>
          <w:tblHeader/>
        </w:trPr>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PRIORITY</w:t>
            </w:r>
          </w:p>
        </w:tc>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DM-RFI ACTION</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PD-RFI ACTION</w:t>
            </w:r>
          </w:p>
        </w:tc>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PDC-RFI ACTION</w:t>
            </w:r>
          </w:p>
        </w:tc>
        <w:tc>
          <w:tcPr>
            <w:tcW w:type="dxa" w:w="12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SSPL ROLE</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P1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Optimisation</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API-enable; PACS real-time link</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Complete all branches; fix data quality</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Stabilise; 100% branches live</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Diagnostic + vendor coordination</w:t>
            </w:r>
          </w:p>
        </w:tc>
      </w:tr>
      <w:tr>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P2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Regulatory Compliance Engine</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auto; ENSURE auto-upload</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extract → semi-auto; 35-day cycle</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extract → Excel template; 45 days</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engine Phase 2</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P3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KCC LOS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AI-scored; satellite; auto-disbursal</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Hybrid: digital form + manual Bhulekh + digital approval</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Paper-to-digital hybrid; digital disbursal</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lending platform + advisory</w:t>
            </w:r>
          </w:p>
        </w:tc>
      </w:tr>
      <w:tr>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P4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UPI / AePS / RuPay Card</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UPI + micro-ATM at every PACS BC</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UPI QR + BC micro-ATM at block level</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AePS only + USSD *99#</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NPCI certification support</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P5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NPA Early Warning System</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ML-based; NDVI + CBS + weather</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Rules-based; daily CBS + NACH bounce</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Excel-based flag; weekly SMS to manager</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EWS platform</w:t>
            </w:r>
          </w:p>
        </w:tc>
      </w:tr>
      <w:tr>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P6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Mobile Banking / USSD</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white-label app; 5+ languages</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USSD *99# + SSPL app Phase 2</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USSD *99# + missed-call banking</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app; NPCI NUUP</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P7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NACH Seasonal Mandate</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 seasonal NACH + AePS fallback</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Seasonal NACH 50%+ loans; AePS fallback</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AePS manual; NACH Phase 3</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configuration + NPCI liaison</w:t>
            </w:r>
          </w:p>
        </w:tc>
      </w:tr>
      <w:tr>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P8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BC Agent Network</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Micro-ATM at every PACS; BBPS + AePS</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Block BCs with micro-ATM; BBPS sub-agent</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District + 1–2 block BCs; AePS only</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BC incentive design; device subsidy advisory</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P9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AI Credit Scoring (DM only)</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NDVI + weather + PM Kisan + CBS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 3: rules-based upgrade</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Not recommended until PD-RFI</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AI platform planned 2026</w:t>
            </w:r>
          </w:p>
        </w:tc>
      </w:tr>
      <w:tr>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P10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FPO Supply Chain Finance</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Working capital + e-NWR; highest ROI</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Phase 3: basic FPO working capital</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Not yet recommended</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NABARD RuralTech CoLab integration</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P11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Operating Unit</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BOU registration; all BCs as sub-agents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sub-agent via existing BOU</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BBPS via BC sub-agent Phase 2</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NPCI BOU certification</w:t>
            </w:r>
          </w:p>
        </w:tc>
      </w:tr>
      <w:tr>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P12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HRMS + Payroll (all categories)</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Keka / Spine HR; KPI-linked performance</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GreytHR / Zoho; full automation</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GreytHR basic; payroll only</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HRMS planned</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P13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Cybersecurity SSPL SOC</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 SOC + SIEM + bi-annual VAPT</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SOC + endpoint + MFA; annual VAPT</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Endpoint + VPN + OTP; quarterly audit</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SOC — critical</w:t>
            </w:r>
          </w:p>
        </w:tc>
      </w:tr>
      <w:tr>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P14 ★★★</w:t>
            </w:r>
          </w:p>
        </w:tc>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DMS / Digital Vault</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AI-DMS; NABARD audit access</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Operational DMS with CBS hooks; OCR</w:t>
            </w:r>
          </w:p>
        </w:tc>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Structured cloud storage (Google Workspace)</w:t>
            </w:r>
          </w:p>
        </w:tc>
        <w:tc>
          <w:tcPr>
            <w:tcW w:type="dxa" w:w="1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 shared digital vault planned</w:t>
            </w:r>
          </w:p>
        </w:tc>
      </w:tr>
      <w:tr>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P15 ★★★</w:t>
            </w:r>
          </w:p>
        </w:tc>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WhatsApp + IVR Banking</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 WhatsApp + AI chatbot; 5+ languages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WhatsApp + IVR; 2 languages</w:t>
            </w:r>
          </w:p>
        </w:tc>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Missed-call banking only; 1 language</w:t>
            </w:r>
          </w:p>
        </w:tc>
        <w:tc>
          <w:tcPr>
            <w:tcW w:type="dxa" w:w="1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shared WhatsApp API 2025–26</w:t>
            </w:r>
          </w:p>
        </w:tc>
      </w:tr>
    </w:tbl>
    <w:p>
      <w:pPr>
        <w:spacing w:after="80" w:before="80"/>
      </w:pPr>
      <w:r>
        <w:t xml:space="preserve"/>
      </w:r>
    </w:p>
    <w:p>
      <w:pPr>
        <w:pStyle w:val="Heading2"/>
        <w:spacing w:after="120" w:before="260"/>
      </w:pPr>
      <w:r>
        <w:rPr>
          <w:rFonts w:ascii="Arial" w:cs="Arial" w:eastAsia="Arial" w:hAnsi="Arial"/>
          <w:b/>
          <w:bCs/>
          <w:color w:val="0E8A8A"/>
          <w:sz w:val="32"/>
          <w:szCs w:val="32"/>
        </w:rPr>
        <w:t xml:space="preserve">11.2 The "Do Not" List — Products Not Recommended for Direct DCCB Implementation</w:t>
      </w:r>
    </w:p>
    <w:p>
      <w:pPr>
        <w:pStyle w:val="ListParagraph"/>
        <w:numPr>
          <w:ilvl w:val="0"/>
          <w:numId w:val="2"/>
        </w:numPr>
        <w:spacing w:after="40" w:before="40" w:line="276" w:lineRule="auto"/>
      </w:pPr>
      <w:r>
        <w:rPr>
          <w:rFonts w:ascii="Arial" w:cs="Arial" w:eastAsia="Arial" w:hAnsi="Arial"/>
          <w:color w:val="1A1A2E"/>
          <w:sz w:val="22"/>
          <w:szCs w:val="22"/>
        </w:rPr>
        <w:t xml:space="preserve">Building a custom superapp like YONO (₹4,000 crore development): Use SSPL white-label or C-Edge cooperative app at ₹15–30 lakhs for 65% functional parity at 0.05% of the cost.</w:t>
      </w:r>
    </w:p>
    <w:p>
      <w:pPr>
        <w:pStyle w:val="ListParagraph"/>
        <w:numPr>
          <w:ilvl w:val="0"/>
          <w:numId w:val="2"/>
        </w:numPr>
        <w:spacing w:after="40" w:before="40" w:line="276" w:lineRule="auto"/>
      </w:pPr>
      <w:r>
        <w:rPr>
          <w:rFonts w:ascii="Arial" w:cs="Arial" w:eastAsia="Arial" w:hAnsi="Arial"/>
          <w:color w:val="1A1A2E"/>
          <w:sz w:val="22"/>
          <w:szCs w:val="22"/>
        </w:rPr>
        <w:t xml:space="preserve">Standalone TMS for treasury management: The CBS investment module covers 100% of DCCB treasury needs. A standalone Bloomberg terminal-level TMS is irrelevant to a DCCB's SLR-passive investment portfolio.</w:t>
      </w:r>
    </w:p>
    <w:p>
      <w:pPr>
        <w:pStyle w:val="ListParagraph"/>
        <w:numPr>
          <w:ilvl w:val="0"/>
          <w:numId w:val="2"/>
        </w:numPr>
        <w:spacing w:after="40" w:before="40" w:line="276" w:lineRule="auto"/>
      </w:pPr>
      <w:r>
        <w:rPr>
          <w:rFonts w:ascii="Arial" w:cs="Arial" w:eastAsia="Arial" w:hAnsi="Arial"/>
          <w:color w:val="1A1A2E"/>
          <w:sz w:val="22"/>
          <w:szCs w:val="22"/>
        </w:rPr>
        <w:t xml:space="preserve">Dedicated AML software for PDC-RFI (₹10–30 lakhs/year): Manual CTR/STR with CBS-generated alerts is sufficient until SSPL shared AML (₹1–3 lakhs/year) becomes available.</w:t>
      </w:r>
    </w:p>
    <w:p>
      <w:pPr>
        <w:pStyle w:val="ListParagraph"/>
        <w:numPr>
          <w:ilvl w:val="0"/>
          <w:numId w:val="2"/>
        </w:numPr>
        <w:spacing w:after="40" w:before="40" w:line="276" w:lineRule="auto"/>
      </w:pPr>
      <w:r>
        <w:rPr>
          <w:rFonts w:ascii="Arial" w:cs="Arial" w:eastAsia="Arial" w:hAnsi="Arial"/>
          <w:color w:val="1A1A2E"/>
          <w:sz w:val="22"/>
          <w:szCs w:val="22"/>
        </w:rPr>
        <w:t xml:space="preserve">Derivatives and forex capability: Outside the regulatory scope and business model of cooperative banks. Not applicable.</w:t>
      </w:r>
    </w:p>
    <w:p>
      <w:pPr>
        <w:pStyle w:val="ListParagraph"/>
        <w:numPr>
          <w:ilvl w:val="0"/>
          <w:numId w:val="2"/>
        </w:numPr>
        <w:spacing w:after="40" w:before="40" w:line="276" w:lineRule="auto"/>
      </w:pPr>
      <w:r>
        <w:rPr>
          <w:rFonts w:ascii="Arial" w:cs="Arial" w:eastAsia="Arial" w:hAnsi="Arial"/>
          <w:color w:val="1A1A2E"/>
          <w:sz w:val="22"/>
          <w:szCs w:val="22"/>
        </w:rPr>
        <w:t xml:space="preserve">Own ATM network at every branch: ₹15–40 crore in hardware for a 50-branch DCCB vs. shared ATM network + micro-ATMs at 10% of the cost delivering equivalent or better rural coverage.</w:t>
      </w:r>
    </w:p>
    <w:p>
      <w:pPr>
        <w:pStyle w:val="ListParagraph"/>
        <w:numPr>
          <w:ilvl w:val="0"/>
          <w:numId w:val="2"/>
        </w:numPr>
        <w:spacing w:after="40" w:before="40" w:line="276" w:lineRule="auto"/>
      </w:pPr>
      <w:r>
        <w:rPr>
          <w:rFonts w:ascii="Arial" w:cs="Arial" w:eastAsia="Arial" w:hAnsi="Arial"/>
          <w:color w:val="1A1A2E"/>
          <w:sz w:val="22"/>
          <w:szCs w:val="22"/>
        </w:rPr>
        <w:t xml:space="preserve">ML credit scoring for PDC-RFI before 24 months of clean digital CBS history: Garbage data produces garbage models. Establishing data quality is a prerequisite; no ML model deployed on inconsistent PACS paper data will outperform a simple rule-based scorecard.</w:t>
      </w:r>
    </w:p>
    <w:p>
      <w:pPr>
        <w:spacing w:after="80" w:before="80"/>
      </w:pPr>
      <w:r>
        <w:t xml:space="preserve"/>
      </w:r>
    </w:p>
    <w:p>
      <w:pPr>
        <w:pStyle w:val="Heading2"/>
        <w:spacing w:after="120" w:before="260"/>
      </w:pPr>
      <w:r>
        <w:rPr>
          <w:rFonts w:ascii="Arial" w:cs="Arial" w:eastAsia="Arial" w:hAnsi="Arial"/>
          <w:b/>
          <w:bCs/>
          <w:color w:val="0E8A8A"/>
          <w:sz w:val="32"/>
          <w:szCs w:val="32"/>
        </w:rPr>
        <w:t xml:space="preserve">11.3 Closing Strategic Statement</w:t>
      </w:r>
    </w:p>
    <w:p>
      <w:pPr>
        <w:spacing w:after="100" w:before="80" w:line="276" w:lineRule="auto"/>
        <w:jc w:val="both"/>
      </w:pPr>
      <w:r>
        <w:rPr>
          <w:rFonts w:ascii="Arial" w:cs="Arial" w:eastAsia="Arial" w:hAnsi="Arial"/>
          <w:b w:val="false"/>
          <w:bCs w:val="false"/>
          <w:i w:val="false"/>
          <w:iCs w:val="false"/>
          <w:color w:val="1A1A2E"/>
          <w:sz w:val="22"/>
          <w:szCs w:val="22"/>
        </w:rPr>
        <w:t xml:space="preserve">The transformation of India's 352 District Central Cooperative Banks from paper-dependent rural credit institutions into AI-assisted financial hubs is the most consequential banking modernisation challenge of the current decade. Not because of technological complexity — the technologies exist, are proven, and are available. But because of the institutional diversity, geographic reach, and human stakes involved. These institutions serve 130 million rural households. Their efficiency determines whether a Vidarbha cotton farmer gets a KCC renewal in 3 days or 42 days. Whether an Odisha tribal SHG member can access cash without a 30-kilometre journey. Whether a Nagaland subsistence farmer's crop loss is detected before she defaults or discovered six months after.</w:t>
      </w:r>
    </w:p>
    <w:p>
      <w:pPr>
        <w:spacing w:after="100" w:before="80" w:line="276" w:lineRule="auto"/>
        <w:jc w:val="both"/>
      </w:pPr>
      <w:r>
        <w:rPr>
          <w:rFonts w:ascii="Arial" w:cs="Arial" w:eastAsia="Arial" w:hAnsi="Arial"/>
          <w:b w:val="false"/>
          <w:bCs w:val="false"/>
          <w:i w:val="false"/>
          <w:iCs w:val="false"/>
          <w:color w:val="1A1A2E"/>
          <w:sz w:val="22"/>
          <w:szCs w:val="22"/>
        </w:rPr>
        <w:t xml:space="preserve">The Generic Bank Product Effectiveness Model was built to solve a cultural problem, not just an analytical one. The cooperative banking sector's technology investment record is littered with failed superapp pilots, underutilised CBS modules, and inactive digital channels — almost all of which failed because they were procured for the wrong reason (because large banks had them) rather than the right reason (because the evidence showed they solved specific problems at cooperative scale). The GBPEM replaces aspiration-driven procurement with evidence-based prioritisation, and that shift in decision-making culture is more valuable than any individual product deployed.</w:t>
      </w:r>
    </w:p>
    <w:p>
      <w:pPr>
        <w:spacing w:after="100" w:before="80" w:line="276" w:lineRule="auto"/>
        <w:jc w:val="both"/>
      </w:pPr>
      <w:r>
        <w:rPr>
          <w:rFonts w:ascii="Arial" w:cs="Arial" w:eastAsia="Arial" w:hAnsi="Arial"/>
          <w:b w:val="false"/>
          <w:bCs w:val="false"/>
          <w:i w:val="false"/>
          <w:iCs w:val="false"/>
          <w:color w:val="1A1A2E"/>
          <w:sz w:val="22"/>
          <w:szCs w:val="22"/>
        </w:rPr>
        <w:t xml:space="preserve">The three-category RFI framework ensures that no DCCB is over-burdened with technology it cannot absorb, and no DCCB is left behind without a clear pathway forward. The Digitally Mature DCCBs in Maharashtra and Gujarat receive AI credit scoring roadmaps. The Partially Digitalized DCCBs of UP and MP receive completion and consolidation roadmaps. The Pre-Digital DCCBs of Manipur and Chhattisgarh receive foundation-first roadmaps with the honest acknowledgment that some will take 5–7 years to reach digital maturity — and that this timeline, properly planned, is not a failure but a realistic and respectful assessment of what is achievable.</w:t>
      </w:r>
    </w:p>
    <w:p>
      <w:pPr>
        <w:spacing w:after="100" w:before="80" w:line="276" w:lineRule="auto"/>
        <w:jc w:val="both"/>
      </w:pPr>
      <w:r>
        <w:rPr>
          <w:rFonts w:ascii="Arial" w:cs="Arial" w:eastAsia="Arial" w:hAnsi="Arial"/>
          <w:b w:val="false"/>
          <w:bCs w:val="false"/>
          <w:i w:val="false"/>
          <w:iCs w:val="false"/>
          <w:color w:val="1A1A2E"/>
          <w:sz w:val="22"/>
          <w:szCs w:val="22"/>
        </w:rPr>
        <w:t xml:space="preserve">SSPL's shared services model is the institutional innovation that makes the economics of this transformation viable. The 80–90% cost reduction on cybersecurity, compliance automation, WhatsApp banking, and AML through shared infrastructure is not an optimisation exercise — it is the difference between affordable and unaffordable for institutions operating on 3–5% net interest margins. One SSPL-hosted WhatsApp banking endpoint serving all 352 DCCBs at ₹50,000 per DCCB per year versus ₹5–15 lakhs per DCCB standalone is the cooperative advantage made digital — collective scale delivering individual value.</w:t>
      </w:r>
    </w:p>
    <w:p>
      <w:pPr>
        <w:spacing w:after="100" w:before="80" w:line="276" w:lineRule="auto"/>
        <w:jc w:val="both"/>
      </w:pPr>
      <w:r>
        <w:rPr>
          <w:rFonts w:ascii="Arial" w:cs="Arial" w:eastAsia="Arial" w:hAnsi="Arial"/>
          <w:b w:val="false"/>
          <w:bCs w:val="false"/>
          <w:i w:val="false"/>
          <w:iCs w:val="false"/>
          <w:color w:val="1A1A2E"/>
          <w:sz w:val="22"/>
          <w:szCs w:val="22"/>
        </w:rPr>
        <w:t xml:space="preserve">By 2027, if this roadmap is executed with discipline and differentiation, India's cooperative banking sector will serve its 130 million customers with the speed of a REST API, the precision of a machine learning model, the reach of an AePS terminal at every PACS doorstep, and the trust of community institutions built on generations of farmer relationships. The DCCB that begins its GBPEM assessment today, deploys its compliance engine in Month 1, activates its seasonal NACH before the kharif harvest, and puts a micro-ATM in the hands of a BC agent in the farthest gram panchayat it serves — that DCCB will have earned the right to call itself a digital cooperative bank. This is what Sahakar Se Samridhi — Prosperity Through Cooperation — means in the digital age.</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0E8A8A" w:sz="20"/>
              <w:bottom w:val="none" w:color="FFFFFF" w:sz="0"/>
              <w:right w:val="none" w:color="FFFFFF" w:sz="0"/>
            </w:tcBorders>
            <w:shd w:fill="F0F8F8" w:val="clear"/>
            <w:tcMar>
              <w:top w:type="dxa" w:w="120"/>
              <w:left w:type="dxa" w:w="240"/>
              <w:bottom w:type="dxa" w:w="120"/>
              <w:right w:type="dxa" w:w="120"/>
            </w:tcMar>
          </w:tcPr>
          <w:p>
            <w:pPr>
              <w:spacing w:after="0" w:before="0"/>
            </w:pPr>
            <w:r>
              <w:rPr>
                <w:rFonts w:ascii="Arial" w:cs="Arial" w:eastAsia="Arial" w:hAnsi="Arial"/>
                <w:i/>
                <w:iCs/>
                <w:color w:val="1A3A50"/>
                <w:sz w:val="20"/>
                <w:szCs w:val="20"/>
              </w:rPr>
              <w:t xml:space="preserve">SSPL Final Directive: The highest-ROI action any DCCB can take today — regardless of category — is to deploy the regulatory compliance engine (eliminating 400–700 person-hours per annual cycle), configure seasonal NACH (eliminating ₹50–80 per-collection field officer cost), and activate USSD *99# (making every feature phone in the service area a bank branch). These three products require less than ₹5 lakhs of investment and deliver returns in the first 90 days. Start there. Build from there. The 36-month roadmap follows.</w:t>
            </w:r>
          </w:p>
        </w:tc>
      </w:tr>
    </w:tbl>
    <w:p>
      <w:pPr>
        <w:spacing w:after="80" w:before="80"/>
      </w:pPr>
      <w:r>
        <w:t xml:space="preserve"/>
      </w:r>
    </w:p>
    <w:p>
      <w:r>
        <w:br w:type="page"/>
      </w:r>
    </w:p>
    <w:p>
      <w:r>
        <w:br w:type="page"/>
      </w:r>
    </w:p>
    <w:p>
      <w:pPr>
        <w:spacing w:after="200" w:before="0"/>
      </w:pPr>
      <w:r>
        <w:rPr>
          <w:rFonts w:ascii="Arial" w:cs="Arial" w:eastAsia="Arial" w:hAnsi="Arial"/>
          <w:b/>
          <w:bCs/>
          <w:color w:val="0A1628"/>
          <w:sz w:val="44"/>
          <w:szCs w:val="44"/>
        </w:rPr>
        <w:t xml:space="preserve">ANNEXURES</w:t>
      </w:r>
    </w:p>
    <w:p>
      <w:pPr>
        <w:spacing w:after="80" w:before="80"/>
      </w:pPr>
      <w:r>
        <w:t xml:space="preserve"/>
      </w:r>
    </w:p>
    <w:p>
      <w:pPr>
        <w:pStyle w:val="Heading1"/>
        <w:pBdr>
          <w:bottom w:val="single" w:color="0E8A8A" w:sz="8" w:space="4"/>
        </w:pBdr>
        <w:spacing w:after="160" w:before="340"/>
      </w:pPr>
      <w:r>
        <w:rPr>
          <w:rFonts w:ascii="Arial" w:cs="Arial" w:eastAsia="Arial" w:hAnsi="Arial"/>
          <w:b/>
          <w:bCs/>
          <w:color w:val="0A1628"/>
          <w:sz w:val="40"/>
          <w:szCs w:val="40"/>
        </w:rPr>
        <w:t xml:space="preserve">Annexure A: Glossary of Terms (80 Terms)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00"/>
        <w:gridCol w:w="7954"/>
      </w:tblGrid>
      <w:tr>
        <w:trPr>
          <w:tblHeader/>
        </w:trPr>
        <w:tc>
          <w:tcPr>
            <w:tcW w:type="dxa" w:w="14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TERM / ACRONYM</w:t>
            </w:r>
          </w:p>
        </w:tc>
        <w:tc>
          <w:tcPr>
            <w:tcW w:type="dxa" w:w="79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FULL FORM AND DEFINITION</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AePS</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Aadhaar-enabled Payment System — NPCI biometric cash transaction system; works without smartphone or PIN</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ALM</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Asset Liability Management — managing risks from maturity mismatches between assets and liabilities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AML</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Anti-Money Laundering — regulatory compliance framework under PMLA preventing financial crime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APY</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Atal Pension Yojana — government pension scheme for unorganised sector workers aged 18–40</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Basel III</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International banking framework setting capital adequacy, liquidity, and leverage standards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Bharat Bill Payment System — NPCI interoperable utility bill payment; ₹3–5 commission per transaction</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BC</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Business Correspondent — DCCB-appointed agent delivering banking at the last mile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BOU</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 Operating Unit — NPCI-certified entity authorised to collect utility bill payments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CASA</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Current Account Savings Account — core deposit account types managed in CBS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Core Banking Solution — centralised software managing all bank operations across branches in real time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CCIL</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Clearing Corporation of India — central clearing house for G-Sec and forex transactions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CDD</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 Due Diligence — KYC process of verifying and monitoring customer identity and risk profile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CERSAI</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Central Registry of Securitisation Asset Reconstruction and Security Interest — mortgage registry</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C-KYC</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Central KYC Registry — CERSAI-operated centralised KYC repository eliminating repeated KYC</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CRAR</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Capital to Risk-weighted Assets Ratio — prudential capital adequacy metric; min 9% for cooperative banks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CRR</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 Reserve Ratio — proportion of NDTL banks must maintain as cash with RBI; currently 4.50%</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CTR</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Cash Transaction Report — mandatory FIU-IND filing for cash transactions above ₹10 lakhs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CVDS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Client Value Delivery Score — GBPEM axis measuring rural client relevance of a banking product</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DCCB</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District Central Cooperative Bank — district-level institution in short-term cooperative credit structure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DBT</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Direct Benefit Transfer — government mechanism for direct digital payment of subsidies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DLP</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Data Loss Prevention — security tool preventing unauthorised data exfiltration from bank systems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DMS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Document Management System — digital repository for bank and customer documents with access control</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EAD</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Exposure at Default — outstanding loan balance at time of default; component of ECL = PD × LGD × EAD</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ECL</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Expected Credit Loss — IFRS 9 provisioning metric: ECL = PD × LGD × EAD</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EWS</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Early Warning System — automated monitoring system flagging pre-NPA accounts for proactive intervention</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e-NWR</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Electronic Negotiable Warehouse Receipt — WDRA-issued digital receipt enabling post-harvest collateral lending</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ENSURE</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NABARD Supervisory Returns Portal — online portal for cooperative bank regulatory data submissions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FIQ</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Financial Impact Quotient — GBPEM axis measuring financial ROI of a banking product at RFI scale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FIU-IND</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Financial Intelligence Unit India — central agency receiving CTR and STR filings from all banks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FPO</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Farmer Producer Organisation — legally registered collective of farmers for aggregated market access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GBPEM</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Generic Bank Product Effectiveness Model — the 5-axis scoring framework for RFI product decisions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HRMS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Human Resources Management System — software managing staff records, payroll, leave, attendance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HSM</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Hardware Security Module — physical cryptographic key management device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ICI</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Implementation Complexity Index — GBPEM axis measuring ease of CBS-based implementation</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IFRS 9</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International Financial Reporting Standard 9 — accounting standard for ECL provisioning</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IVR</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Interactive Voice Response — automated phone system delivering banking services via voice menu</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KCC</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Kisan Credit Card — revolving crop credit product for Indian farmers; anchor product of DCCBs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LGD</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Loss Given Default — proportion of loan balance lost if borrower defaults; ~40–60% for secured agri loans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LOS</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Loan Origination System — digital workflow managing loan application-to-disbursal process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MFA</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Multi-Factor Authentication — security requiring 2+ verification factors for system access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MIS</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Management Information System — analytics system converting CBS data to management intelligence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MVDS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Minimum Viable Digital Stack — minimum set of digital products required for each RFI category</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NABARD</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National Bank for Agriculture and Rural Development — apex development bank for rural India</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NACH</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National Automated Clearing House — NPCI bulk payment system for EMI and mandate-based debit</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NCDC</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National Cooperative Development Corporation — government cooperative development agency</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NDTL</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Net Demand and Time Liabilities — the base denominator for SLR and CRR computation</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NDVI</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Normalised Difference Vegetation Index — satellite crop health metric used in EWS and AI scoring</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Non-Performing Asset — loan account with principal or interest unpaid for 90+ days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NPCI</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National Payments Corporation of India — operator of UPI, IMPS, NACH, AePS, BBPS, RuPay, BHIM</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OSS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Off-Site Surveillance System — NABARD regulatory monitoring framework for cooperative banks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OTP</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One-Time Password — single-use authentication code for digital banking transaction security</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Primary Agricultural Credit Society — village-level cooperative; last-mile credit delivery institution</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Probability of Default — statistical likelihood a borrower will fail to repay in a given period</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PDC-RFI</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Pre-Digital / Digitalization Commencing Rural Financial Institution — DCCB Category 3</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PD-RFI</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Partially Digitalized Rural Financial Institution — DCCB Category 2</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DM-RFI</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Digitally Mature Rural Financial Institution — DCCB Category 1</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PMFBY</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Pradhan Mantri Fasal Bima Yojana — crop insurance scheme; 85%+ premium subsidised by government</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PMJDY</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Pradhan Mantri Jan Dhan Yojana — financial inclusion scheme; 450M+ accounts as of 2024</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PMJJBY</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Pradhan Mantri Jeevan Jyoti Bima Yojana — life insurance ₹2 lakh at ₹436/year premium</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PMSBY</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Pradhan Mantri Suraksha Bima Yojana — accidental insurance ₹2 lakh at ₹20/year premium</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PMS</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Product Maturity Score — GBPEM axis measuring how proven a product is at large-bank scale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RAS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Rural Adaptability Score — GBPEM axis for suitability in low-connectivity, low-literacy environments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RFI</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Rural Financial Institution — DCCB category designation used throughout this framework</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RuPay</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NPCI domestic card network — India's alternative to Visa and Mastercard; zero annual fee basic variant</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SHG</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Self-Help Group — savings and credit group of 10–20 rural members linked to bank via NABARD programme</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SIEM</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Security Information and Event Management — platform aggregating and analysing security logs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SLR</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Statutory Liquidity Ratio — proportion of NDTL held in approved securities; currently 18% minimum</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SOC</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Security Operations Centre — 24x7 cybersecurity monitoring and incident response facility</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Sahakar Sarathi Pvt Ltd — NABARD shared services entity for cooperative bank digital transformation</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StCB</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State Cooperative Bank — state-level apex tier of the short-term cooperative credit structure</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STR</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Suspicious Transaction Report — mandatory FIU-IND filing for unusual financial transaction patterns</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TAP</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NABARD Turn Around Plan — rehabilitation programme for 96 weak RCBs from April 2025</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UPI</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Unified Payments Interface — NPCI real-time payment protocol; 10 billion+ monthly transactions (2024)</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USSD</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Unstructured Supplementary Service Data — feature-phone banking via *99# without internet</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V-CIP</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Video Customer Identification Process — RBI-approved remote KYC via video call</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VAPT</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Vulnerability Assessment and Penetration Testing — RBI-mandated annual security testing for all banks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VPN</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Virtual Private Network — encrypted tunnel securing inter-branch CBS communication</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WDRA</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Warehousing Development and Regulatory Authority — issues e-NWRs and regulates warehouses</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AES-256</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Advanced Encryption Standard 256-bit — mandated encryption for banking data at rest and in transit</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ADEI</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Annual Digital Effectiveness Index — SSPL/NABARD composite digital maturity score (0–100) per DCCB</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BharatNet</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Government of India initiative connecting all gram panchayats with high-speed broadband</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IMPS</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Immediate Payment Service — NPCI 24x7 instant fund transfer system; up to ₹5 lakh per transaction</w:t>
            </w:r>
          </w:p>
        </w:tc>
      </w:tr>
      <w:tr>
        <w:tc>
          <w:tcPr>
            <w:tcW w:type="dxa" w:w="14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RTGS</w:t>
            </w:r>
          </w:p>
        </w:tc>
        <w:tc>
          <w:tcPr>
            <w:tcW w:type="dxa" w:w="79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Real-Time Gross Settlement — RBI-operated high-value fund transfer; minimum ₹2 lakh</w:t>
            </w:r>
          </w:p>
        </w:tc>
      </w:tr>
      <w:tr>
        <w:tc>
          <w:tcPr>
            <w:tcW w:type="dxa" w:w="14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NEFT</w:t>
            </w:r>
          </w:p>
        </w:tc>
        <w:tc>
          <w:tcPr>
            <w:tcW w:type="dxa" w:w="79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National Electronic Funds Transfer — RBI-operated batch fund transfer system; 24x7 since 2019</w:t>
            </w:r>
          </w:p>
        </w:tc>
      </w:tr>
    </w:tbl>
    <w:p>
      <w:pPr>
        <w:spacing w:after="80" w:before="80"/>
      </w:pPr>
      <w:r>
        <w:t xml:space="preserve"/>
      </w:r>
    </w:p>
    <w:p>
      <w:r>
        <w:br w:type="page"/>
      </w:r>
    </w:p>
    <w:p>
      <w:pPr>
        <w:pStyle w:val="Heading1"/>
        <w:pBdr>
          <w:bottom w:val="single" w:color="0E8A8A" w:sz="8" w:space="4"/>
        </w:pBdr>
        <w:spacing w:after="160" w:before="340"/>
      </w:pPr>
      <w:r>
        <w:rPr>
          <w:rFonts w:ascii="Arial" w:cs="Arial" w:eastAsia="Arial" w:hAnsi="Arial"/>
          <w:b/>
          <w:bCs/>
          <w:color w:val="0A1628"/>
          <w:sz w:val="40"/>
          <w:szCs w:val="40"/>
        </w:rPr>
        <w:t xml:space="preserve">Annexure B: CBS Vendor Comparison Table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100"/>
        <w:gridCol w:w="1100"/>
        <w:gridCol w:w="2300"/>
        <w:gridCol w:w="900"/>
        <w:gridCol w:w="1754"/>
      </w:tblGrid>
      <w:tr>
        <w:trPr>
          <w:tblHeader/>
        </w:trPr>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VENDOR</w:t>
            </w:r>
          </w:p>
        </w:tc>
        <w:tc>
          <w:tcPr>
            <w:tcW w:type="dxa" w:w="1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11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TARGET SEGMENT</w:t>
            </w:r>
          </w:p>
        </w:tc>
        <w:tc>
          <w:tcPr>
            <w:tcW w:type="dxa" w:w="11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PRICING (₹)</w:t>
            </w:r>
          </w:p>
        </w:tc>
        <w:tc>
          <w:tcPr>
            <w:tcW w:type="dxa" w:w="23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KEY FEATURES</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PACS ERP</w:t>
            </w:r>
          </w:p>
        </w:tc>
        <w:tc>
          <w:tcPr>
            <w:tcW w:type="dxa" w:w="17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SSPL COMPATIBLE</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(TCS+SBI JV)</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CBS</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RRBs + cooperative banks</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₹50–150L one-time; ₹8–20L AM</w:t>
            </w:r>
          </w:p>
        </w:tc>
        <w:tc>
          <w:tcPr>
            <w:tcW w:type="dxa" w:w="2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Full cooperative CBS; UPI; AePS; card mgmt; NABARD returns; share capital</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Yes — roadmap</w:t>
            </w:r>
          </w:p>
        </w:tc>
        <w:tc>
          <w:tcPr>
            <w:tcW w:type="dxa" w:w="1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Yes</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TrustBankCBS</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TrustBankCBS</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Cooperative + small banks</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₹15–40L; ₹3–6L AM</w:t>
            </w:r>
          </w:p>
        </w:tc>
        <w:tc>
          <w:tcPr>
            <w:tcW w:type="dxa" w:w="2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KYC; LOS; mobile banking; AML; RBI returns; share capital management</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 development</w:t>
            </w:r>
          </w:p>
        </w:tc>
        <w:tc>
          <w:tcPr>
            <w:tcW w:type="dxa" w:w="1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Planned</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Virmati Software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Virmati CBS</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NBFC + cooperative</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₹20–50L; ₹4–8L AM</w:t>
            </w:r>
          </w:p>
        </w:tc>
        <w:tc>
          <w:tcPr>
            <w:tcW w:type="dxa" w:w="2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BFSI + ERP; API layer; Ahmedabad-based; Fintech-ready</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Partial</w:t>
            </w:r>
          </w:p>
        </w:tc>
        <w:tc>
          <w:tcPr>
            <w:tcW w:type="dxa" w:w="1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Planned</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RB Tech Services</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RB CBS</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NBFC + cooperative (100+ clients)</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₹15–35L; ₹3–5L AM</w:t>
            </w:r>
          </w:p>
        </w:tc>
        <w:tc>
          <w:tcPr>
            <w:tcW w:type="dxa" w:w="2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Mobile banking; RBI compliance; 100+ cooperative clients across India</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Partial</w:t>
            </w:r>
          </w:p>
        </w:tc>
        <w:tc>
          <w:tcPr>
            <w:tcW w:type="dxa" w:w="1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Under evaluation</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Custodian / LISTSPL</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Custodian CBS</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Maharashtra + Karnataka cooperative</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₹10–30L; ₹2–5L AM</w:t>
            </w:r>
          </w:p>
        </w:tc>
        <w:tc>
          <w:tcPr>
            <w:tcW w:type="dxa" w:w="2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Share capital; PACS sub-accounting; regional language support</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Yes (regional)</w:t>
            </w:r>
          </w:p>
        </w:tc>
        <w:tc>
          <w:tcPr>
            <w:tcW w:type="dxa" w:w="1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Under evaluation</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Autobank / TM Systems</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Autobank CBS</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Cooperative banks (125+ banks, 25+ yrs)</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₹10–25L; ₹2–4L AM</w:t>
            </w:r>
          </w:p>
        </w:tc>
        <w:tc>
          <w:tcPr>
            <w:tcW w:type="dxa" w:w="2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Proven cooperative track record; full GL; NABARD returns; mobile banking</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Partial</w:t>
            </w:r>
          </w:p>
        </w:tc>
        <w:tc>
          <w:tcPr>
            <w:tcW w:type="dxa" w:w="1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Under evaluation</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TCS BaNCS (cooperative)</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BaNCS</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Large cooperative (&gt;₹2,000 Cr)</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Cr+; ₹30–50L AM</w:t>
            </w:r>
          </w:p>
        </w:tc>
        <w:tc>
          <w:tcPr>
            <w:tcW w:type="dxa" w:w="2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Enterprise-grade; full API; AI-ready; SBI-proven at 140M accounts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Yes (enterprise)</w:t>
            </w:r>
          </w:p>
        </w:tc>
        <w:tc>
          <w:tcPr>
            <w:tcW w:type="dxa" w:w="1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Yes</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Infosys Finacle (cooperative)</w:t>
            </w:r>
          </w:p>
        </w:tc>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Finacle</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Large cooperative banks</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 Cr+; ₹25–40L AM</w:t>
            </w:r>
          </w:p>
        </w:tc>
        <w:tc>
          <w:tcPr>
            <w:tcW w:type="dxa" w:w="2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PNB/BoB/ICICI-proven; API-first; BI-ready; global deployment standard</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Partial</w:t>
            </w:r>
          </w:p>
        </w:tc>
        <w:tc>
          <w:tcPr>
            <w:tcW w:type="dxa" w:w="1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Yes</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CBS SaaS (planned)</w:t>
            </w:r>
          </w:p>
        </w:tc>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SSPL Hosted CBS</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All DCCB categories</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₹5–10L/year (estimated)</w:t>
            </w:r>
          </w:p>
        </w:tc>
        <w:tc>
          <w:tcPr>
            <w:tcW w:type="dxa" w:w="2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Cooperative-specific; shared infrastructure; SSPL-native integration; NABARD-aligned</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Yes (native)</w:t>
            </w:r>
          </w:p>
        </w:tc>
        <w:tc>
          <w:tcPr>
            <w:tcW w:type="dxa" w:w="1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Native</w:t>
            </w:r>
          </w:p>
        </w:tc>
      </w:tr>
    </w:tbl>
    <w:p>
      <w:pPr>
        <w:spacing w:after="80" w:before="80"/>
      </w:pPr>
      <w:r>
        <w:t xml:space="preserve"/>
      </w:r>
    </w:p>
    <w:p>
      <w:r>
        <w:br w:type="page"/>
      </w:r>
    </w:p>
    <w:p>
      <w:pPr>
        <w:pStyle w:val="Heading1"/>
        <w:pBdr>
          <w:bottom w:val="single" w:color="0E8A8A" w:sz="8" w:space="4"/>
        </w:pBdr>
        <w:spacing w:after="160" w:before="340"/>
      </w:pPr>
      <w:r>
        <w:rPr>
          <w:rFonts w:ascii="Arial" w:cs="Arial" w:eastAsia="Arial" w:hAnsi="Arial"/>
          <w:b/>
          <w:bCs/>
          <w:color w:val="0A1628"/>
          <w:sz w:val="40"/>
          <w:szCs w:val="40"/>
        </w:rPr>
        <w:t xml:space="preserve">Annexure C: SSPL Service Catalogue — Current and Planned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100"/>
        <w:gridCol w:w="1300"/>
        <w:gridCol w:w="900"/>
        <w:gridCol w:w="3254"/>
      </w:tblGrid>
      <w:tr>
        <w:trPr>
          <w:tblHeader/>
        </w:trPr>
        <w:tc>
          <w:tcPr>
            <w:tcW w:type="dxa" w:w="1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SERVICE CATEGORY</w:t>
            </w:r>
          </w:p>
        </w:tc>
        <w:tc>
          <w:tcPr>
            <w:tcW w:type="dxa" w:w="1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SERVICE</w:t>
            </w:r>
          </w:p>
        </w:tc>
        <w:tc>
          <w:tcPr>
            <w:tcW w:type="dxa" w:w="11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STATUS (2025)</w:t>
            </w:r>
          </w:p>
        </w:tc>
        <w:tc>
          <w:tcPr>
            <w:tcW w:type="dxa" w:w="13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COST/DCCB (EST. ₹/YR)</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TIMELINE</w:t>
            </w:r>
          </w:p>
        </w:tc>
        <w:tc>
          <w:tcPr>
            <w:tcW w:type="dxa" w:w="32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DEPENDENCIES</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Technology</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SaaS Hosting</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 development</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₹5–10 lakhs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2026–27</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NABARD infrastructure investment</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Technology</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UPI Integration Endpoint</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Planned</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₹50K–1 lakh</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NPCI DCCB member onboarding</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Technology</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KCC LOS Platform</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Pilot (select states)</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₹2–5 lakhs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API enablement at DCCB</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Technology</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AI Credit Scoring Engine</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R&amp;D phase</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 lakhs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2026–27</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 ERP data quality; NDVI API tie-up</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Technology</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MIS / BI Analytics Platform</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 development</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data feed standardisation</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Technology</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WhatsApp Banking Shared API</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 development</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₹50K–1.5 lakhs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Meta Business API + NPCI integration</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Technology</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IVR / Missed-Call Banking</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Planned</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₹10–30K (shared)</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Telecom tie-up; regional language content</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Operations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NACH Processing Centre</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Planned</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₹50K–2 lakhs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2026</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NPCI NACH member status for DCCBs</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Operations</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BC Network Management Platform</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 development</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₹50K–1 lakh</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BC agent onboarding + NPCI AePS certification</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Operations</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Document Management (Digital Vault)</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Planned</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₹30K–1 lakh</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2026–27</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Cloud infrastructure + NABARD access protocol</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Support</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Cybersecurity SOC (Shared)</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 development</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₹3–8 lakhs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SOC infrastructure investment by SSPL</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Support</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AML / Compliance Engine</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Advanced development</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2025</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FIU-IND filing API integration</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Support</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Regulatory Reporting Engine (ENSURE)</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Advanced development</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 lakhs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2025</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data standardisation across cooperatives</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Support</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HRMS Shared Service</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Planned</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₹30–60/emp/month</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2026</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 policy standardisation across cooperatives</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Support</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eLearning / Training Platform</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 development</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₹20–50K</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2025–26</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Content development in regional languages</w:t>
            </w:r>
          </w:p>
        </w:tc>
      </w:tr>
      <w:tr>
        <w:tc>
          <w:tcPr>
            <w:tcW w:type="dxa" w:w="1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Support</w:t>
            </w:r>
          </w:p>
        </w:tc>
        <w:tc>
          <w:tcPr>
            <w:tcW w:type="dxa" w:w="1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VAPT / Annual Security Audit</w:t>
            </w:r>
          </w:p>
        </w:tc>
        <w:tc>
          <w:tcPr>
            <w:tcW w:type="dxa" w:w="11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Available (outsourced)</w:t>
            </w:r>
          </w:p>
        </w:tc>
        <w:tc>
          <w:tcPr>
            <w:tcW w:type="dxa" w:w="13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 lakhs</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Now</w:t>
            </w:r>
          </w:p>
        </w:tc>
        <w:tc>
          <w:tcPr>
            <w:tcW w:type="dxa" w:w="32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SSPL-empanelled audit agencies</w:t>
            </w:r>
          </w:p>
        </w:tc>
      </w:tr>
      <w:tr>
        <w:tc>
          <w:tcPr>
            <w:tcW w:type="dxa" w:w="1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Support</w:t>
            </w:r>
          </w:p>
        </w:tc>
        <w:tc>
          <w:tcPr>
            <w:tcW w:type="dxa" w:w="1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Help Desk (Tier 1 + Tier 2)</w:t>
            </w:r>
          </w:p>
        </w:tc>
        <w:tc>
          <w:tcPr>
            <w:tcW w:type="dxa" w:w="11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Planned</w:t>
            </w:r>
          </w:p>
        </w:tc>
        <w:tc>
          <w:tcPr>
            <w:tcW w:type="dxa" w:w="13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₹50K–1.5 lakhs</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2026</w:t>
            </w:r>
          </w:p>
        </w:tc>
        <w:tc>
          <w:tcPr>
            <w:tcW w:type="dxa" w:w="32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Staff capacity at SSPL; multilingual capability</w:t>
            </w:r>
          </w:p>
        </w:tc>
      </w:tr>
    </w:tbl>
    <w:p>
      <w:pPr>
        <w:spacing w:after="80" w:before="80"/>
      </w:pPr>
      <w:r>
        <w:t xml:space="preserve"/>
      </w:r>
    </w:p>
    <w:p>
      <w:r>
        <w:br w:type="page"/>
      </w:r>
    </w:p>
    <w:p>
      <w:pPr>
        <w:pStyle w:val="Heading1"/>
        <w:pBdr>
          <w:bottom w:val="single" w:color="0E8A8A" w:sz="8" w:space="4"/>
        </w:pBdr>
        <w:spacing w:after="160" w:before="340"/>
      </w:pPr>
      <w:r>
        <w:rPr>
          <w:rFonts w:ascii="Arial" w:cs="Arial" w:eastAsia="Arial" w:hAnsi="Arial"/>
          <w:b/>
          <w:bCs/>
          <w:color w:val="0A1628"/>
          <w:sz w:val="40"/>
          <w:szCs w:val="40"/>
        </w:rPr>
        <w:t xml:space="preserve">Annexure D: Regional DCCB Digital Maturity Heat Map</w:t>
      </w:r>
    </w:p>
    <w:tbl>
      <w:tblPr>
        <w:tblW w:type="dxa" w:w="8354"/>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00"/>
        <w:gridCol w:w="700"/>
        <w:gridCol w:w="800"/>
        <w:gridCol w:w="2000"/>
        <w:gridCol w:w="1200"/>
        <w:gridCol w:w="1054"/>
      </w:tblGrid>
      <w:tr>
        <w:trPr>
          <w:tblHeader/>
        </w:trPr>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STATE</w:t>
            </w:r>
          </w:p>
        </w:tc>
        <w:tc>
          <w:tcPr>
            <w:tcW w:type="dxa" w:w="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NO. OF DCCBS</w:t>
            </w:r>
          </w:p>
        </w:tc>
        <w:tc>
          <w:tcPr>
            <w:tcW w:type="dxa" w:w="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EST. DM-RFI</w:t>
            </w:r>
          </w:p>
        </w:tc>
        <w:tc>
          <w:tcPr>
            <w:tcW w:type="dxa" w:w="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EST. PD-RFI</w:t>
            </w:r>
          </w:p>
        </w:tc>
        <w:tc>
          <w:tcPr>
            <w:tcW w:type="dxa" w:w="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EST. PDC-RFI</w:t>
            </w:r>
          </w:p>
        </w:tc>
        <w:tc>
          <w:tcPr>
            <w:tcW w:type="dxa" w:w="20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KEY DIGITAL GAP</w:t>
            </w:r>
          </w:p>
        </w:tc>
        <w:tc>
          <w:tcPr>
            <w:tcW w:type="dxa" w:w="12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SSPL PRIORITY</w:t>
            </w:r>
          </w:p>
        </w:tc>
        <w:tc>
          <w:tcPr>
            <w:tcW w:type="dxa" w:w="10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PRIMARY CBS USED</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Maharashtra</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31</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16</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ERP completion; AI credit scoring</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 — first AI pilots</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Custodian / C-Edge</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Gujarat</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BC network density; FPO finance products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 Virmati</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Karnataka</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30</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16</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6</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Tribal DCCB digital foundation; PACS ERP</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 Custodian</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Andhra Pradesh</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PACS real-time linkage; NPA EWS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 Finacle</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Telangana</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completion; FPO supply chain finance</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Tamil Nadu</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14</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Mobile banking adoption; BBPS activation</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HIGH-MEDIUM</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TrustBankCBS / C-Edge</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Uttar Pradesh</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50</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32</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14</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CRAR/SLR automation; PACS digital linkage; BC network</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 (largest state)</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RB Tech / C-Edge</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Madhya Pradesh</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38</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24</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Tribal DCCB CBS stabilisation; Aadhaar eKYC</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RB Tech / Autobank</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Rajasthan</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33</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Connectivity; NACH seasonal; BC desert coverage</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HIGH-MEDIUM</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RB Tech / Autobank</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Punjab</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Advanced digital (near DM-RFI); AI credit scoring</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 (advanced)</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 Finacle</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Haryana</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19</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7</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10</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FPO finance; BBPS BOU; digital KCC renewal</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 TrustBankCBS</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Bihar</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35</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CBS stabilisation; staff training; connectivity</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 (large gap)</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RB Tech / Autobank</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Jharkhand</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11</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Tribal CBS foundation; AePS-first; BharatNet advocacy</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 (PDC focus)</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Autobank / RB Tech</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Odisha</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10</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Tribal connectivity; PACS ERP; TRIFED integration</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HIGH-MEDIUM</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 RB Tech</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West Bengal</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completion; cooperative-specific modules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MEDIUM</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TrustBankCBS / C-Edge</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Himachal Pradesh</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12</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7</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Mountain connectivity; seasonal NACH for apple/horticulture</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MEDIUM</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 Autobank</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Uttarakhand</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13</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Hill connectivity; USSD priority; AePS at altitude</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MEDIUM</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C-Edge / Autobank</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Assam + Northeast (8 states)</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13</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Foundation CBS; connectivity (BharatNet); phygital-first</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CRITICAL PDC focus</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RB Tech / Autobank</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Chhattisgarh</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9</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Tribal DCCB CBS; TRIFED DBT integration; AePS</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 (PDC focus)</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RB Tech / Autobank</w:t>
            </w:r>
          </w:p>
        </w:tc>
      </w:tr>
      <w:tr>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Kerala</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8</w:t>
            </w:r>
          </w:p>
        </w:tc>
        <w:tc>
          <w:tcPr>
            <w:tcW w:type="dxa" w:w="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20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Near DM-RFI; mobile banking; advanced products</w:t>
            </w:r>
          </w:p>
        </w:tc>
        <w:tc>
          <w:tcPr>
            <w:tcW w:type="dxa" w:w="12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LOW-MEDIUM</w:t>
            </w:r>
          </w:p>
        </w:tc>
        <w:tc>
          <w:tcPr>
            <w:tcW w:type="dxa" w:w="10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C-Edge / Finacle</w:t>
            </w:r>
          </w:p>
        </w:tc>
      </w:tr>
      <w:tr>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TOTAL INDIA</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~352</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~55–70</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~195–210</w:t>
            </w:r>
          </w:p>
        </w:tc>
        <w:tc>
          <w:tcPr>
            <w:tcW w:type="dxa" w:w="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~85–90</w:t>
            </w:r>
          </w:p>
        </w:tc>
        <w:tc>
          <w:tcPr>
            <w:tcW w:type="dxa" w:w="20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PACS ERP; AI scoring; BC activation; compliance automation</w:t>
            </w:r>
          </w:p>
        </w:tc>
        <w:tc>
          <w:tcPr>
            <w:tcW w:type="dxa" w:w="12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Phased per category</w:t>
            </w:r>
          </w:p>
        </w:tc>
        <w:tc>
          <w:tcPr>
            <w:tcW w:type="dxa" w:w="10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Multiple</w:t>
            </w:r>
          </w:p>
        </w:tc>
      </w:tr>
    </w:tbl>
    <w:p>
      <w:pPr>
        <w:spacing w:after="80" w:before="80"/>
      </w:pPr>
      <w:r>
        <w:t xml:space="preserve"/>
      </w:r>
    </w:p>
    <w:p>
      <w:r>
        <w:br w:type="page"/>
      </w:r>
    </w:p>
    <w:p>
      <w:pPr>
        <w:pStyle w:val="Heading1"/>
        <w:pBdr>
          <w:bottom w:val="single" w:color="0E8A8A" w:sz="8" w:space="4"/>
        </w:pBdr>
        <w:spacing w:after="160" w:before="340"/>
      </w:pPr>
      <w:r>
        <w:rPr>
          <w:rFonts w:ascii="Arial" w:cs="Arial" w:eastAsia="Arial" w:hAnsi="Arial"/>
          <w:b/>
          <w:bCs/>
          <w:color w:val="0A1628"/>
          <w:sz w:val="40"/>
          <w:szCs w:val="40"/>
        </w:rPr>
        <w:t xml:space="preserve">Annexure E: Sample GBPEM Assessment Worksheet</w:t>
      </w:r>
    </w:p>
    <w:p>
      <w:pPr>
        <w:spacing w:after="100" w:before="80" w:line="276" w:lineRule="auto"/>
        <w:jc w:val="both"/>
      </w:pPr>
      <w:r>
        <w:rPr>
          <w:rFonts w:ascii="Arial" w:cs="Arial" w:eastAsia="Arial" w:hAnsi="Arial"/>
          <w:b w:val="false"/>
          <w:bCs w:val="false"/>
          <w:i w:val="false"/>
          <w:iCs w:val="false"/>
          <w:color w:val="1A1A2E"/>
          <w:sz w:val="22"/>
          <w:szCs w:val="22"/>
        </w:rPr>
        <w:t xml:space="preserve">This worksheet is designed to be completed by DCCB management in a 2-hour workshop facilitated by SSPL. Score each product on all 5 axes (1–5). Total the scores. Products scoring 18+ are priority; 12–17 are medium priority; below 12 are deferred.</w:t>
      </w:r>
    </w:p>
    <w:p>
      <w:pPr>
        <w:spacing w:after="80" w:before="80"/>
      </w:pPr>
      <w:r>
        <w:t xml:space="preserve"/>
      </w:r>
    </w:p>
    <w:p>
      <w:pPr>
        <w:spacing w:after="100" w:before="80" w:line="276" w:lineRule="auto"/>
        <w:jc w:val="left"/>
      </w:pPr>
      <w:r>
        <w:rPr>
          <w:rFonts w:ascii="Arial" w:cs="Arial" w:eastAsia="Arial" w:hAnsi="Arial"/>
          <w:b/>
          <w:bCs/>
          <w:i/>
          <w:iCs/>
          <w:color w:val="1A1A2E"/>
          <w:sz w:val="22"/>
          <w:szCs w:val="22"/>
        </w:rPr>
        <w:t xml:space="preserve">SAMPLE: Mid-Tier PD-RFI DCCB in Madhya Pradesh (₹350 Cr loan book; 35,000 accounts; 60 PACS; C-Edge CBS live at 80% branches; no NACH; no BC network; Excel-based CRAR)</w:t>
      </w:r>
    </w:p>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600"/>
        <w:gridCol w:w="600"/>
        <w:gridCol w:w="600"/>
        <w:gridCol w:w="700"/>
        <w:gridCol w:w="900"/>
        <w:gridCol w:w="3754"/>
      </w:tblGrid>
      <w:tr>
        <w:trPr>
          <w:tblHeader/>
        </w:trPr>
        <w:tc>
          <w:tcPr>
            <w:tcW w:type="dxa" w:w="1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PRODUCT</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PMS (1–5)</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RAS (1–5)</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ICI (1–5)</w:t>
            </w:r>
          </w:p>
        </w:tc>
        <w:tc>
          <w:tcPr>
            <w:tcW w:type="dxa" w:w="6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FIQ (1–5)</w:t>
            </w:r>
          </w:p>
        </w:tc>
        <w:tc>
          <w:tcPr>
            <w:tcW w:type="dxa" w:w="7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CVDS (1–5)</w:t>
            </w:r>
          </w:p>
        </w:tc>
        <w:tc>
          <w:tcPr>
            <w:tcW w:type="dxa" w:w="9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TOTAL /25</w:t>
            </w:r>
          </w:p>
        </w:tc>
        <w:tc>
          <w:tcPr>
            <w:tcW w:type="dxa" w:w="37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PRIORITY ACTION FOR THIS DCCB</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Mobile Banking App</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19</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Deploy USSD *99# immediately; white-label app in Phase 2</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Internet Banking (staff portal)</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Activate CBS staff portal (bundled); defer retail</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UPI / AePS / Digital Payments</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 — register USSD, deploy AePS BC agents Month 1</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Digital Account Opening / eKYC</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Deploy Aadhaar eKYC at all 3 active branches in Phase 1</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Digital KCC LOS</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Hybrid LOS Phase 1 (eKYC + CIBIL); full LOS Phase 2</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ATM / Micro-ATM / AePS</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HIGHEST — BC micro-ATM at 5 block PACS immediately</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Insurance Distribution</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PMFBY auto-enrol at KCC; PMSBY/PMJJBY in Phase 1</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 Bill Collection</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23</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HIGHEST — sub-agent BBPS via existing BOU; Phase 1</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RuPay Debit Card / mPOS</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22</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Begin card issuance; mPOS at 5 PACS counters</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WhatsApp / IVR Banking</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Missed-call banking Phase 1; WhatsApp SSPL shared Phase 2</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CBS (Stabilisation)</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21</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MANDATORY — complete remaining 20% offline branches first</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MIS / Analytics Dashboard</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19</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Power BI Tier 2 connected to CBS — deploy Month 3</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Regulatory Compliance Engine</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21</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HIGHEST ROI — CBS extract → semi-auto; deploy Month 1</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NPA Early Warning System</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Rules-based EWS from CBS — Phase 1; ML in Phase 3</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NACH Seasonal Mandate</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Configure seasonal NACH before next kharif harvest cycle</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HRMS / Payroll</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GreytHR deployment — Month 1 (quick win; no dependencies)</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Cybersecurity</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18</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MANDATORY — endpoint + VPN + OTP immediately</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Document Management</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20</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Google Workspace structured folders Phase 1; DMS Phase 2</w:t>
            </w:r>
          </w:p>
        </w:tc>
      </w:tr>
      <w:tr>
        <w:tc>
          <w:tcPr>
            <w:tcW w:type="dxa" w:w="1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Treasury / SLR Tracking</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5</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21</w:t>
            </w:r>
          </w:p>
        </w:tc>
        <w:tc>
          <w:tcPr>
            <w:tcW w:type="dxa" w:w="37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Activate CBS investment module; auto SLR ratio display</w:t>
            </w:r>
          </w:p>
        </w:tc>
      </w:tr>
      <w:tr>
        <w:tc>
          <w:tcPr>
            <w:tcW w:type="dxa" w:w="1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Fraud Detection / AML</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2</w:t>
            </w:r>
          </w:p>
        </w:tc>
        <w:tc>
          <w:tcPr>
            <w:tcW w:type="dxa" w:w="6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4</w:t>
            </w:r>
          </w:p>
        </w:tc>
        <w:tc>
          <w:tcPr>
            <w:tcW w:type="dxa" w:w="7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3</w:t>
            </w:r>
          </w:p>
        </w:tc>
        <w:tc>
          <w:tcPr>
            <w:tcW w:type="dxa" w:w="9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17</w:t>
            </w:r>
          </w:p>
        </w:tc>
        <w:tc>
          <w:tcPr>
            <w:tcW w:type="dxa" w:w="37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Manual CTR + SSPL shared AML engine Phase 2</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tblHeader/>
        </w:trPr>
        <w:tc>
          <w:tcPr>
            <w:tcW w:type="dxa" w:w="2800"/>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RFI CATEGORY DETERMINATION</w:t>
            </w:r>
          </w:p>
        </w:tc>
        <w:tc>
          <w:tcPr>
            <w:tcW w:type="dxa" w:w="6554"/>
            <w:tcBorders>
              <w:top w:val="single" w:color="D0DDE8" w:sz="4"/>
              <w:left w:val="single" w:color="D0DDE8" w:sz="4"/>
              <w:bottom w:val="single" w:color="D0DDE8" w:sz="4"/>
              <w:right w:val="single" w:color="D0DDE8" w:sz="4"/>
            </w:tcBorders>
            <w:shd w:fill="0A1628" w:val="clear"/>
            <w:tcMar>
              <w:top w:type="dxa" w:w="80"/>
              <w:left w:type="dxa" w:w="100"/>
              <w:bottom w:type="dxa" w:w="80"/>
              <w:right w:type="dxa" w:w="100"/>
            </w:tcMar>
          </w:tcPr>
          <w:p>
            <w:pPr>
              <w:jc w:val="center"/>
            </w:pPr>
            <w:r>
              <w:rPr>
                <w:rFonts w:ascii="Arial" w:cs="Arial" w:eastAsia="Arial" w:hAnsi="Arial"/>
                <w:b/>
                <w:bCs/>
                <w:color w:val="14B8B8"/>
                <w:sz w:val="16"/>
                <w:szCs w:val="16"/>
              </w:rPr>
              <w:t xml:space="preserve">SCORE / CRITERIA</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This DCCB scores as:</w:t>
            </w:r>
          </w:p>
        </w:tc>
        <w:tc>
          <w:tcPr>
            <w:tcW w:type="dxa" w:w="6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PD-RFI (Partially Digitalized) — CBS live but incomplete; no NACH; no BC; no automation</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Immediate Phase 1 priorities (Top 5):</w:t>
            </w:r>
          </w:p>
        </w:tc>
        <w:tc>
          <w:tcPr>
            <w:tcW w:type="dxa" w:w="6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BBPS sub-agent, AePS BC deployment, Regulatory compliance engine, NACH seasonal, HRMS</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Investment required Phase 1:</w:t>
            </w:r>
          </w:p>
        </w:tc>
        <w:tc>
          <w:tcPr>
            <w:tcW w:type="dxa" w:w="6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₹20–35 lakhs (all Phase 1 products combined)</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Expected Year 1 ROI:</w:t>
            </w:r>
          </w:p>
        </w:tc>
        <w:tc>
          <w:tcPr>
            <w:tcW w:type="dxa" w:w="6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₹60–90 lakhs (compliance savings + BBPS income + NPA reduction + TAT gain)</w:t>
            </w:r>
          </w:p>
        </w:tc>
      </w:tr>
      <w:tr>
        <w:tc>
          <w:tcPr>
            <w:tcW w:type="dxa" w:w="2800"/>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Target ADEI score by Month 12:</w:t>
            </w:r>
          </w:p>
        </w:tc>
        <w:tc>
          <w:tcPr>
            <w:tcW w:type="dxa" w:w="6554"/>
            <w:tcBorders>
              <w:top w:val="single" w:color="D0DDE8" w:sz="4"/>
              <w:left w:val="single" w:color="D0DDE8" w:sz="4"/>
              <w:bottom w:val="single" w:color="D0DDE8" w:sz="4"/>
              <w:right w:val="single" w:color="D0DDE8" w:sz="4"/>
            </w:tcBorders>
            <w:shd w:fill="F4F7FB" w:val="clear"/>
            <w:tcMar>
              <w:top w:type="dxa" w:w="60"/>
              <w:left w:type="dxa" w:w="100"/>
              <w:bottom w:type="dxa" w:w="60"/>
              <w:right w:type="dxa" w:w="100"/>
            </w:tcMar>
          </w:tcPr>
          <w:p>
            <w:r>
              <w:rPr>
                <w:rFonts w:ascii="Arial" w:cs="Arial" w:eastAsia="Arial" w:hAnsi="Arial"/>
                <w:color w:val="1A1A2E"/>
                <w:sz w:val="18"/>
                <w:szCs w:val="18"/>
              </w:rPr>
              <w:t xml:space="preserve">38–45 / 100 (from estimated baseline of 22)</w:t>
            </w:r>
          </w:p>
        </w:tc>
      </w:tr>
      <w:tr>
        <w:tc>
          <w:tcPr>
            <w:tcW w:type="dxa" w:w="2800"/>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RFI upgrade timeline:</w:t>
            </w:r>
          </w:p>
        </w:tc>
        <w:tc>
          <w:tcPr>
            <w:tcW w:type="dxa" w:w="6554"/>
            <w:tcBorders>
              <w:top w:val="single" w:color="D0DDE8" w:sz="4"/>
              <w:left w:val="single" w:color="D0DDE8" w:sz="4"/>
              <w:bottom w:val="single" w:color="D0DDE8" w:sz="4"/>
              <w:right w:val="single" w:color="D0DDE8" w:sz="4"/>
            </w:tcBorders>
            <w:shd w:fill="FFFFFF" w:val="clear"/>
            <w:tcMar>
              <w:top w:type="dxa" w:w="60"/>
              <w:left w:type="dxa" w:w="100"/>
              <w:bottom w:type="dxa" w:w="60"/>
              <w:right w:type="dxa" w:w="100"/>
            </w:tcMar>
          </w:tcPr>
          <w:p>
            <w:r>
              <w:rPr>
                <w:rFonts w:ascii="Arial" w:cs="Arial" w:eastAsia="Arial" w:hAnsi="Arial"/>
                <w:color w:val="1A1A2E"/>
                <w:sz w:val="18"/>
                <w:szCs w:val="18"/>
              </w:rPr>
              <w:t xml:space="preserve">DM-RFI status achievable by Month 30–36 with full roadmap execution</w:t>
            </w:r>
          </w:p>
        </w:tc>
      </w:tr>
    </w:tbl>
    <w:p>
      <w:pPr>
        <w:spacing w:after="80" w:before="80"/>
      </w:pPr>
      <w:r>
        <w:t xml:space="preserve"/>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Borders>
              <w:top w:val="none" w:color="FFFFFF" w:sz="0"/>
              <w:left w:val="single" w:color="0E8A8A" w:sz="20"/>
              <w:bottom w:val="none" w:color="FFFFFF" w:sz="0"/>
              <w:right w:val="none" w:color="FFFFFF" w:sz="0"/>
            </w:tcBorders>
            <w:shd w:fill="F0F8F8" w:val="clear"/>
            <w:tcMar>
              <w:top w:type="dxa" w:w="120"/>
              <w:left w:type="dxa" w:w="240"/>
              <w:bottom w:type="dxa" w:w="120"/>
              <w:right w:type="dxa" w:w="120"/>
            </w:tcMar>
          </w:tcPr>
          <w:p>
            <w:pPr>
              <w:spacing w:after="0" w:before="0"/>
            </w:pPr>
            <w:r>
              <w:rPr>
                <w:rFonts w:ascii="Arial" w:cs="Arial" w:eastAsia="Arial" w:hAnsi="Arial"/>
                <w:i/>
                <w:iCs/>
                <w:color w:val="1A3A50"/>
                <w:sz w:val="20"/>
                <w:szCs w:val="20"/>
              </w:rPr>
              <w:t xml:space="preserve">SSPL Facilitator Note: This completed worksheet, combined with a 90-minute management walkthrough, provides all the inputs needed to generate the DCCB's 3-year digital roadmap. SSPL advisory teams conduct this workshop as part of the annual diagnostic cycle for all 352 DCCBs — ensuring no institution is left to navigate its digital transformation without structured guidance.</w:t>
            </w:r>
          </w:p>
        </w:tc>
      </w:tr>
    </w:tbl>
    <w:p>
      <w:pPr>
        <w:spacing w:after="80" w:before="80"/>
      </w:pPr>
      <w:r>
        <w:t xml:space="preserve"/>
      </w:r>
    </w:p>
    <w:sectPr>
      <w:headerReference w:type="default" r:id="rId7"/>
      <w:footerReference w:type="default" r:id="rId8"/>
      <w:pgSz w:w="11906" w:h="16838" w:orient="portrait"/>
      <w:pgMar w:top="1418" w:right="1134" w:bottom="124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8A8A" w:sz="8" w:space="6"/>
      </w:pBdr>
      <w:tabs>
        <w:tab w:val="center" w:pos="4677"/>
        <w:tab w:val="right" w:pos="9026"/>
      </w:tabs>
      <w:spacing w:after="0" w:before="60"/>
    </w:pPr>
    <w:r>
      <w:rPr>
        <w:rFonts w:ascii="Arial" w:cs="Arial" w:eastAsia="Arial" w:hAnsi="Arial"/>
        <w:color w:val="555566"/>
        <w:sz w:val="16"/>
        <w:szCs w:val="16"/>
      </w:rPr>
      <w:t xml:space="preserve">Sahakar Se Samridhi  ·  IFRS 9 / Basel III Aligned</w:t>
    </w:r>
    <w:r>
      <w:rPr>
        <w:sz w:val="16"/>
        <w:szCs w:val="16"/>
      </w:rPr>
      <w:t xml:space="preserve">	</w:t>
    </w:r>
    <w:r>
      <w:rPr>
        <w:rFonts w:ascii="Arial" w:cs="Arial" w:eastAsia="Arial" w:hAnsi="Arial"/>
        <w:b/>
        <w:bCs/>
        <w:color w:val="0E8A8A"/>
        <w:sz w:val="16"/>
        <w:szCs w:val="16"/>
      </w:rPr>
      <w:t xml:space="preserve">CONFIDENTIAL  2025–2027</w:t>
    </w:r>
    <w:r>
      <w:rPr>
        <w:sz w:val="16"/>
        <w:szCs w:val="16"/>
      </w:rPr>
      <w:t xml:space="preserve">	</w:t>
    </w:r>
    <w:r>
      <w:rPr>
        <w:rFonts w:ascii="Arial" w:cs="Arial" w:eastAsia="Arial" w:hAnsi="Arial"/>
        <w:color w:val="555566"/>
        <w:sz w:val="16"/>
        <w:szCs w:val="16"/>
      </w:rPr>
      <w:t xml:space="preserve">NABARD-SSPL  ·  Strategic Advisory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8A8A" w:sz="8" w:space="6"/>
      </w:pBdr>
      <w:tabs>
        <w:tab w:val="right" w:pos="9026"/>
      </w:tabs>
      <w:spacing w:after="80" w:before="0"/>
    </w:pPr>
    <w:r>
      <w:rPr>
        <w:rFonts w:ascii="Arial" w:cs="Arial" w:eastAsia="Arial" w:hAnsi="Arial"/>
        <w:color w:val="555566"/>
        <w:sz w:val="16"/>
        <w:szCs w:val="16"/>
      </w:rPr>
      <w:t xml:space="preserve">DCCB / RFI Digital Banking Product Effectiveness Model  |  NABARD-SSPL Advisory Framework</w:t>
    </w:r>
    <w:r>
      <w:rPr>
        <w:sz w:val="16"/>
        <w:szCs w:val="16"/>
      </w:rPr>
      <w:t xml:space="preserve">	</w:t>
    </w:r>
    <w:r>
      <w:rPr>
        <w:rFonts w:ascii="Arial" w:cs="Arial" w:eastAsia="Arial" w:hAnsi="Arial"/>
        <w:b/>
        <w:bCs/>
        <w:color w:val="0E8A8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0A1628"/>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0E8A8A"/>
      <w:sz w:val="32"/>
      <w:szCs w:val="32"/>
    </w:rPr>
  </w:style>
  <w:style w:type="paragraph" w:styleId="Heading3">
    <w:name w:val="Heading 3"/>
    <w:basedOn w:val="Normal"/>
    <w:next w:val="Normal"/>
    <w:qFormat/>
    <w:pPr>
      <w:spacing w:after="80" w:before="200"/>
      <w:outlineLvl w:val="2"/>
    </w:pPr>
    <w:rPr>
      <w:rFonts w:ascii="Arial" w:cs="Arial" w:eastAsia="Arial" w:hAnsi="Arial"/>
      <w:b/>
      <w:bCs/>
      <w:color w:val="0A1628"/>
      <w:sz w:val="26"/>
      <w:szCs w:val="26"/>
    </w:rPr>
  </w:style>
  <w:style w:type="paragraph" w:styleId="Heading4">
    <w:name w:val="Heading 4"/>
    <w:basedOn w:val="Normal"/>
    <w:next w:val="Normal"/>
    <w:qFormat/>
    <w:pPr>
      <w:spacing w:after="60" w:before="160"/>
      <w:outlineLvl w:val="3"/>
    </w:pPr>
    <w:rPr>
      <w:rFonts w:ascii="Arial" w:cs="Arial" w:eastAsia="Arial" w:hAnsi="Arial"/>
      <w:b/>
      <w:bCs/>
      <w:i/>
      <w:iCs/>
      <w:color w:val="0E8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2026-04-13T16:45:13.512Z</dcterms:created>
  <dcterms:modified xsi:type="dcterms:W3CDTF">2026-04-13T16:45:13.515Z</dcterms:modified>
</cp:coreProperties>
</file>

<file path=docProps/custom.xml><?xml version="1.0" encoding="utf-8"?>
<Properties xmlns="http://schemas.openxmlformats.org/officeDocument/2006/custom-properties" xmlns:vt="http://schemas.openxmlformats.org/officeDocument/2006/docPropsVTypes"/>
</file>