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846137</wp:posOffset>
                </wp:positionH>
                <wp:positionV relativeFrom="paragraph">
                  <wp:posOffset>-634</wp:posOffset>
                </wp:positionV>
                <wp:extent cx="5165725" cy="1078230"/>
                <wp:effectExtent b="0" l="0" r="0" t="0"/>
                <wp:wrapNone/>
                <wp:docPr id="2" name=""/>
                <a:graphic>
                  <a:graphicData uri="http://schemas.microsoft.com/office/word/2010/wordprocessingGroup">
                    <wpg:wgp>
                      <wpg:cNvGrpSpPr/>
                      <wpg:grpSpPr>
                        <a:xfrm>
                          <a:off x="2763125" y="3240875"/>
                          <a:ext cx="5165725" cy="1078230"/>
                          <a:chOff x="2763125" y="3240875"/>
                          <a:chExt cx="5165750" cy="1078250"/>
                        </a:xfrm>
                      </wpg:grpSpPr>
                      <wpg:grpSp>
                        <wpg:cNvGrpSpPr/>
                        <wpg:grpSpPr>
                          <a:xfrm>
                            <a:off x="2763138" y="3240885"/>
                            <a:ext cx="5165725" cy="1078230"/>
                            <a:chOff x="0" y="0"/>
                            <a:chExt cx="5166213" cy="1078230"/>
                          </a:xfrm>
                        </wpg:grpSpPr>
                        <wps:wsp>
                          <wps:cNvSpPr/>
                          <wps:cNvPr id="3" name="Shape 3"/>
                          <wps:spPr>
                            <a:xfrm>
                              <a:off x="0" y="0"/>
                              <a:ext cx="5166200" cy="107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Users\vpati\AppData\Local\Microsoft\Windows\INetCache\Content.Word\HAUni.png" id="4" name="Shape 4"/>
                            <pic:cNvPicPr preferRelativeResize="0"/>
                          </pic:nvPicPr>
                          <pic:blipFill rotWithShape="1">
                            <a:blip r:embed="rId9">
                              <a:alphaModFix/>
                            </a:blip>
                            <a:srcRect b="0" l="0" r="0" t="0"/>
                            <a:stretch/>
                          </pic:blipFill>
                          <pic:spPr>
                            <a:xfrm>
                              <a:off x="0" y="0"/>
                              <a:ext cx="1078230" cy="1078230"/>
                            </a:xfrm>
                            <a:prstGeom prst="rect">
                              <a:avLst/>
                            </a:prstGeom>
                            <a:noFill/>
                            <a:ln>
                              <a:noFill/>
                            </a:ln>
                          </pic:spPr>
                        </pic:pic>
                        <pic:pic>
                          <pic:nvPicPr>
                            <pic:cNvPr descr="D:\Users\SGH-203\Pictures\BFDC1C63-859B-4964-BD7E-A48C31F4A678 (1).png" id="5" name="Shape 5"/>
                            <pic:cNvPicPr preferRelativeResize="0"/>
                          </pic:nvPicPr>
                          <pic:blipFill rotWithShape="1">
                            <a:blip r:embed="rId10">
                              <a:alphaModFix/>
                            </a:blip>
                            <a:srcRect b="0" l="0" r="0" t="0"/>
                            <a:stretch/>
                          </pic:blipFill>
                          <pic:spPr>
                            <a:xfrm>
                              <a:off x="4185138" y="35170"/>
                              <a:ext cx="981075" cy="98107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846137</wp:posOffset>
                </wp:positionH>
                <wp:positionV relativeFrom="paragraph">
                  <wp:posOffset>-634</wp:posOffset>
                </wp:positionV>
                <wp:extent cx="5165725" cy="1078230"/>
                <wp:effectExtent b="0" l="0" r="0" t="0"/>
                <wp:wrapNone/>
                <wp:docPr id="2"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165725" cy="107823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HOLY ANGEL UNIVERSITY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EDUCATION DEPARTMENT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SENIOR HIGH SCHOOL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Angeles City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 2026-2027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Research 1</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u w:val="single"/>
        </w:rPr>
      </w:pPr>
      <w:r w:rsidDel="00000000" w:rsidR="00000000" w:rsidRPr="00000000">
        <w:rPr>
          <w:rtl w:val="0"/>
        </w:rPr>
      </w:r>
    </w:p>
    <w:tbl>
      <w:tblPr>
        <w:tblStyle w:val="Table1"/>
        <w:tblW w:w="10801.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98"/>
        <w:gridCol w:w="503"/>
        <w:gridCol w:w="401"/>
        <w:gridCol w:w="826"/>
        <w:gridCol w:w="435"/>
        <w:gridCol w:w="785"/>
        <w:gridCol w:w="53"/>
        <w:gridCol w:w="344"/>
        <w:gridCol w:w="811"/>
        <w:gridCol w:w="17"/>
        <w:gridCol w:w="49"/>
        <w:gridCol w:w="348"/>
        <w:gridCol w:w="807"/>
        <w:gridCol w:w="21"/>
        <w:gridCol w:w="397"/>
        <w:gridCol w:w="827"/>
        <w:gridCol w:w="397"/>
        <w:gridCol w:w="831"/>
        <w:gridCol w:w="1751"/>
        <w:tblGridChange w:id="0">
          <w:tblGrid>
            <w:gridCol w:w="1198"/>
            <w:gridCol w:w="503"/>
            <w:gridCol w:w="401"/>
            <w:gridCol w:w="826"/>
            <w:gridCol w:w="435"/>
            <w:gridCol w:w="785"/>
            <w:gridCol w:w="53"/>
            <w:gridCol w:w="344"/>
            <w:gridCol w:w="811"/>
            <w:gridCol w:w="17"/>
            <w:gridCol w:w="49"/>
            <w:gridCol w:w="348"/>
            <w:gridCol w:w="807"/>
            <w:gridCol w:w="21"/>
            <w:gridCol w:w="397"/>
            <w:gridCol w:w="827"/>
            <w:gridCol w:w="397"/>
            <w:gridCol w:w="831"/>
            <w:gridCol w:w="1751"/>
          </w:tblGrid>
        </w:tblGridChange>
      </w:tblGrid>
      <w:tr>
        <w:trPr>
          <w:cantSplit w:val="0"/>
          <w:tblHeader w:val="0"/>
        </w:trPr>
        <w:tc>
          <w:tcPr>
            <w:gridSpan w:val="2"/>
            <w:tcBorders>
              <w:right w:color="000000" w:space="0" w:sz="4" w:val="single"/>
            </w:tcBorders>
          </w:tcPr>
          <w:p w:rsidR="00000000" w:rsidDel="00000000" w:rsidP="00000000" w:rsidRDefault="00000000" w:rsidRPr="00000000" w14:paraId="000000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jc w:val="center"/>
              <w:rPr>
                <w:rFonts w:ascii="Times New Roman" w:cs="Times New Roman" w:eastAsia="Times New Roman" w:hAnsi="Times New Roman"/>
                <w:sz w:val="20"/>
                <w:szCs w:val="20"/>
              </w:rPr>
            </w:pPr>
            <w:sdt>
              <w:sdtPr>
                <w:id w:val="1944520790"/>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left w:color="000000" w:space="0" w:sz="4" w:val="single"/>
              <w:right w:color="000000" w:space="0" w:sz="4" w:val="single"/>
            </w:tcBorders>
          </w:tcPr>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jc w:val="center"/>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jc w:val="center"/>
              <w:rPr>
                <w:rFonts w:ascii="Times New Roman" w:cs="Times New Roman" w:eastAsia="Times New Roman" w:hAnsi="Times New Roman"/>
                <w:sz w:val="20"/>
                <w:szCs w:val="20"/>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jc w:val="center"/>
              <w:rPr>
                <w:rFonts w:ascii="Times New Roman" w:cs="Times New Roman" w:eastAsia="Times New Roman" w:hAnsi="Times New Roman"/>
                <w:sz w:val="20"/>
                <w:szCs w:val="20"/>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p w:rsidR="00000000" w:rsidDel="00000000" w:rsidP="00000000" w:rsidRDefault="00000000" w:rsidRPr="00000000" w14:paraId="0000001D">
            <w:pPr>
              <w:jc w:val="center"/>
              <w:rPr>
                <w:rFonts w:ascii="Times New Roman" w:cs="Times New Roman" w:eastAsia="Times New Roman" w:hAnsi="Times New Roman"/>
                <w:sz w:val="20"/>
                <w:szCs w:val="20"/>
              </w:rPr>
            </w:pPr>
            <w:r w:rsidDel="00000000" w:rsidR="00000000" w:rsidRPr="00000000">
              <w:rPr>
                <w:rtl w:val="0"/>
              </w:rPr>
            </w:r>
          </w:p>
        </w:tc>
        <w:tc>
          <w:tcPr>
            <w:gridSpan w:val="6"/>
          </w:tcPr>
          <w:p w:rsidR="00000000" w:rsidDel="00000000" w:rsidP="00000000" w:rsidRDefault="00000000" w:rsidRPr="00000000" w14:paraId="0000001E">
            <w:pPr>
              <w:jc w:val="center"/>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024">
            <w:pPr>
              <w:jc w:val="center"/>
              <w:rPr>
                <w:rFonts w:ascii="Times New Roman" w:cs="Times New Roman" w:eastAsia="Times New Roman" w:hAnsi="Times New Roman"/>
                <w:sz w:val="20"/>
                <w:szCs w:val="20"/>
              </w:rPr>
            </w:pPr>
            <w:r w:rsidDel="00000000" w:rsidR="00000000" w:rsidRPr="00000000">
              <w:rPr>
                <w:rtl w:val="0"/>
              </w:rPr>
            </w:r>
          </w:p>
        </w:tc>
        <w:tc>
          <w:tcPr>
            <w:gridSpan w:val="10"/>
          </w:tcPr>
          <w:p w:rsidR="00000000" w:rsidDel="00000000" w:rsidP="00000000" w:rsidRDefault="00000000" w:rsidRPr="00000000" w14:paraId="00000026">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Leader</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0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7</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2</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jc w:val="center"/>
              <w:rPr>
                <w:rFonts w:ascii="Times New Roman" w:cs="Times New Roman" w:eastAsia="Times New Roman" w:hAnsi="Times New Roman"/>
                <w:sz w:val="20"/>
                <w:szCs w:val="20"/>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0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8</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3</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ind w:left="1440" w:hanging="1440"/>
              <w:jc w:val="center"/>
              <w:rPr>
                <w:rFonts w:ascii="Times New Roman" w:cs="Times New Roman" w:eastAsia="Times New Roman" w:hAnsi="Times New Roman"/>
                <w:sz w:val="20"/>
                <w:szCs w:val="20"/>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9</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4</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center"/>
              <w:rPr>
                <w:rFonts w:ascii="Times New Roman" w:cs="Times New Roman" w:eastAsia="Times New Roman" w:hAnsi="Times New Roman"/>
                <w:sz w:val="20"/>
                <w:szCs w:val="20"/>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0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10</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5</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jc w:val="center"/>
              <w:rPr>
                <w:rFonts w:ascii="Times New Roman" w:cs="Times New Roman" w:eastAsia="Times New Roman" w:hAnsi="Times New Roman"/>
                <w:sz w:val="20"/>
                <w:szCs w:val="20"/>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11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6</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0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12</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Activity Title </w:t>
      </w:r>
      <w:r w:rsidDel="00000000" w:rsidR="00000000" w:rsidRPr="00000000">
        <w:rPr>
          <w:rFonts w:ascii="Times New Roman" w:cs="Times New Roman" w:eastAsia="Times New Roman" w:hAnsi="Times New Roman"/>
          <w:u w:val="single"/>
          <w:rtl w:val="0"/>
        </w:rPr>
        <w:t xml:space="preserve">Discussion</w:t>
      </w:r>
    </w:p>
    <w:p w:rsidR="00000000" w:rsidDel="00000000" w:rsidP="00000000" w:rsidRDefault="00000000" w:rsidRPr="00000000" w14:paraId="000000A6">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Learning Targets </w:t>
      </w:r>
      <w:r w:rsidDel="00000000" w:rsidR="00000000" w:rsidRPr="00000000">
        <w:rPr>
          <w:rFonts w:ascii="Times New Roman" w:cs="Times New Roman" w:eastAsia="Times New Roman" w:hAnsi="Times New Roman"/>
          <w:u w:val="single"/>
          <w:rtl w:val="0"/>
        </w:rPr>
        <w:t xml:space="preserve">writes the reflexivity of the study (HAU);</w:t>
      </w:r>
    </w:p>
    <w:p w:rsidR="00000000" w:rsidDel="00000000" w:rsidP="00000000" w:rsidRDefault="00000000" w:rsidRPr="00000000" w14:paraId="000000A7">
      <w:pPr>
        <w:ind w:left="720"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draws conclusions from patterns and themes (CS_RS11-IVg-j-1); and,</w:t>
      </w:r>
    </w:p>
    <w:p w:rsidR="00000000" w:rsidDel="00000000" w:rsidP="00000000" w:rsidRDefault="00000000" w:rsidRPr="00000000" w14:paraId="000000A8">
      <w:pPr>
        <w:ind w:left="720"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formulates recommendations based on conclusions (CS_RS11-IVg-j-2).</w:t>
      </w:r>
      <w:r w:rsidDel="00000000" w:rsidR="00000000" w:rsidRPr="00000000">
        <w:br w:type="page"/>
      </w: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Susulung king Pyalung: Describing the Lived Professional Experiences of Psychologists in Luzon on Adolescent Digital Well-Being in Gaming Environments</w:t>
      </w:r>
    </w:p>
    <w:p w:rsidR="00000000" w:rsidDel="00000000" w:rsidP="00000000" w:rsidRDefault="00000000" w:rsidRPr="00000000" w14:paraId="000000AA">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Discussion</w:t>
      </w:r>
    </w:p>
    <w:p w:rsidR="00000000" w:rsidDel="00000000" w:rsidP="00000000" w:rsidRDefault="00000000" w:rsidRPr="00000000" w14:paraId="000000AC">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Introduction</w:t>
      </w:r>
    </w:p>
    <w:p w:rsidR="00000000" w:rsidDel="00000000" w:rsidP="00000000" w:rsidRDefault="00000000" w:rsidRPr="00000000" w14:paraId="000000AD">
      <w:pPr>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section discusses the findings in light of the purpose of the study, which was to describe the professional perspectives and lived professional experiences of licensed psychologists in Luzon regarding adolescent digital well-being in gaming environments. It begins with the researchers' reflexivity, then summarizes the findings for each statement of the problem and relates them to the reviewed literature and studies. It closes with the conclusions drawn from the themes and the recommendations that follow from them.</w:t>
      </w:r>
      <w:r w:rsidDel="00000000" w:rsidR="00000000" w:rsidRPr="00000000">
        <w:rPr>
          <w:rFonts w:ascii="Times New Roman" w:hAnsi="Times New Roman"/>
          <w:sz w:val="24"/>
          <w:rtl w:val="0"/>
        </w:rPr>
      </w:r>
    </w:p>
    <w:p w:rsidR="00000000" w:rsidDel="00000000" w:rsidP="00000000" w:rsidRDefault="00000000" w:rsidRPr="00000000" w14:paraId="000000AE">
      <w:pPr>
        <w:keepNext/>
        <w:ind w:firstLine="0"/>
        <w:jc w:val="left"/>
        <w:rPr>
          <w:rFonts w:ascii="Times New Roman" w:cs="Times New Roman" w:eastAsia="Times New Roman" w:hAnsi="Times New Roman"/>
          <w:i w:val="1"/>
          <w:iCs w:val="1"/>
          <w:color w:val="000000"/>
          <w:sz w:val="24"/>
          <w:szCs w:val="24"/>
        </w:rPr>
      </w:pPr>
      <w:sdt>
        <w:sdtPr>
          <w:id w:val="-1580111635"/>
          <w:tag w:val="goog_rdk_1"/>
        </w:sdtPr>
        <w:sdtContent>
          <w:commentRangeStart w:id="0"/>
        </w:sdtContent>
      </w:sdt>
      <w:r w:rsidDel="00000000" w:rsidR="00000000" w:rsidRPr="00000000">
        <w:rPr>
          <w:rFonts w:ascii="Times New Roman" w:cs="Times New Roman" w:eastAsia="Times New Roman" w:hAnsi="Times New Roman"/>
          <w:b/>
          <w:i w:val="1"/>
          <w:iCs w:val="1"/>
          <w:color w:val="000000"/>
          <w:sz w:val="24"/>
          <w:szCs w:val="24"/>
          <w:rtl w:val="0"/>
        </w:rPr>
        <w:t xml:space="preserve">Reflexivity</w:t>
      </w:r>
      <w:commentRangeEnd w:id="0"/>
      <w:r w:rsidDel="00000000" w:rsidR="00000000" w:rsidRPr="00000000">
        <w:rPr>
          <w:rFonts w:ascii="Times New Roman" w:hAnsi="Times New Roman"/>
          <w:b/>
          <w:sz w:val="24"/>
        </w:rPr>
        <w:commentReference w:id="0"/>
      </w:r>
      <w:r w:rsidDel="00000000" w:rsidR="00000000" w:rsidRPr="00000000">
        <w:rPr>
          <w:rFonts w:ascii="Times New Roman" w:hAnsi="Times New Roman"/>
          <w:b/>
          <w:sz w:val="24"/>
          <w:rtl w:val="0"/>
        </w:rPr>
      </w:r>
    </w:p>
    <w:p w:rsidR="00000000" w:rsidDel="00000000" w:rsidP="00000000" w:rsidRDefault="00000000" w:rsidRPr="00000000" w14:paraId="000000AF">
      <w:pPr>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As senior high school students, the researchers are close in age to the adolescents this study is about, and several of the researchers play games themselves. The researchers entered the study holding two opposite assumptions that are common among their peers and families: that gaming is mostly harmful, which is how many parents see it, and that gaming is mostly harmless, which is how many players see it. These assumptions first led the researchers to frame the problem as a question of risk. Reading the literature, especially the bioecological view of Bronfenbrenner and Morris (2007), led the researchers to reframe the problem around the conditions that surround gaming, which is reflected in the position of this study that gaming is neither a uniform threat nor a uniform benefit, but a complex and individualized experience.</w:t>
      </w:r>
      <w:r w:rsidDel="00000000" w:rsidR="00000000" w:rsidRPr="00000000">
        <w:rPr>
          <w:rFonts w:ascii="Times New Roman" w:hAnsi="Times New Roman"/>
          <w:sz w:val="24"/>
          <w:rtl w:val="0"/>
        </w:rPr>
      </w:r>
    </w:p>
    <w:p w:rsidR="00000000" w:rsidDel="00000000" w:rsidP="00000000" w:rsidRDefault="00000000" w:rsidRPr="00000000" w14:paraId="000000B0">
      <w:pPr>
        <w:spacing w:after="0" w:before="0" w:line="480" w:lineRule="auto"/>
        <w:ind w:firstLine="720"/>
        <w:jc w:val="both"/>
        <w:rPr/>
      </w:pPr>
      <w:commentRangeStart w:id="1"/>
      <w:r>
        <w:rPr>
          <w:rFonts w:ascii="Times New Roman" w:hAnsi="Times New Roman"/>
          <w:sz w:val="24"/>
        </w:rPr>
        <w:t>The discussion identifies expectations that could have shaped interpretation, including anticipated benefits such as relief, connection, and achievement, and concerns involving sleep, self-care, school, and loss of control. Agreement between these expectations and the themes does not independently validate the findings. The working reflexivity sheet does not contain a completed set of journal entries, so this account is not presented as proof that a comprehensive pre-interview journaling procedure was completed.</w:t>
      </w:r>
      <w:commentRangeEnd w:id="1"/>
      <w:r>
        <w:rPr>
          <w:rStyle w:val="CommentReference"/>
        </w:rPr>
        <w:commentReference w:id="1"/>
      </w:r>
    </w:p>
    <w:p w:rsidR="00000000" w:rsidDel="00000000" w:rsidP="00000000" w:rsidRDefault="00000000" w:rsidRPr="00000000" w14:paraId="000000B1">
      <w:pPr>
        <w:spacing w:after="0" w:before="0" w:line="480" w:lineRule="auto"/>
        <w:ind w:firstLine="720"/>
        <w:jc w:val="both"/>
        <w:rPr/>
      </w:pPr>
      <w:r>
        <w:rPr>
          <w:rFonts w:ascii="Times New Roman" w:hAnsi="Times New Roman"/>
          <w:sz w:val="24"/>
        </w:rPr>
        <w:t>Eligibility was based on a PRC psychologist license, relevant adolescent professional experience, and practice in or service to Luzon communities, rather than a favorable or unfavorable view of gaming. The schedule left digital well-being open for participants to define and did not prescribe categories under SOP 2. Initial codes attended to the accounts before PPCT interpretation. The working record contains manual and assisted transcription and draft coding decisions; these must be distinguished from source checks or researcher approvals that have actually been documented.</w:t>
      </w:r>
    </w:p>
    <w:p w:rsidR="00000000" w:rsidDel="00000000" w:rsidP="00000000" w:rsidRDefault="00000000" w:rsidRPr="00000000" w14:paraId="000000B2">
      <w:pPr>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Because several of the researchers play games, there was a risk of giving more weight to accounts that defended gaming. This was most relevant in the case of Interviewee 4, whose view that screen exposure itself harms the developing brain did not fit the pattern described by most participants. The researchers chose to present her view as a divergent clinical position rather than set it aside. Accounts that contradicted the themes, such as the participant who saw little psychological concern in gaming and the respondents who could not name a benefit or a mixed case, were recorded as negative cases and reported in the findings. Statements in Filipino were presented as spoken, with translations, so that readers can compare the researchers' interpretation with the participants' own words.</w:t>
      </w:r>
      <w:r w:rsidDel="00000000" w:rsidR="00000000" w:rsidRPr="00000000">
        <w:rPr>
          <w:rFonts w:ascii="Times New Roman" w:hAnsi="Times New Roman"/>
          <w:sz w:val="24"/>
          <w:rtl w:val="0"/>
        </w:rPr>
      </w:r>
    </w:p>
    <w:p w:rsidR="00000000" w:rsidDel="00000000" w:rsidP="00000000" w:rsidRDefault="00000000" w:rsidRPr="00000000" w14:paraId="000000B3">
      <w:pPr>
        <w:spacing w:after="0" w:before="0" w:line="480" w:lineRule="auto"/>
        <w:ind w:firstLine="720"/>
        <w:jc w:val="both"/>
        <w:rPr/>
      </w:pPr>
      <w:r>
        <w:rPr>
          <w:rFonts w:ascii="Times New Roman" w:hAnsi="Times New Roman"/>
          <w:sz w:val="24"/>
        </w:rPr>
        <w:t>Conclusions are grounded in recurring themes while retaining divergent accounts and the limits of short written answers. Participant coverage is treated as evidence of material represented in a theme, not an agreement score. Source-status gaps, draft decisions, and incomplete checking records limit how strongly the researchers can claim that all extracts and interpretations have been independently verified.</w:t>
      </w:r>
    </w:p>
    <w:p w:rsidR="00000000" w:rsidDel="00000000" w:rsidP="00000000" w:rsidRDefault="00000000" w:rsidRPr="00000000" w14:paraId="000000B4">
      <w:pPr>
        <w:keepNext/>
        <w:ind w:firstLine="0"/>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i w:val="1"/>
          <w:iCs w:val="1"/>
          <w:color w:val="000000"/>
          <w:sz w:val="24"/>
          <w:szCs w:val="24"/>
          <w:rtl w:val="0"/>
        </w:rPr>
        <w:t xml:space="preserve">Summary of Findings</w:t>
      </w:r>
    </w:p>
    <w:p w:rsidR="00000000" w:rsidDel="00000000" w:rsidP="00000000" w:rsidRDefault="00000000" w:rsidRPr="00000000" w14:paraId="000000B5">
      <w:pPr>
        <w:spacing w:after="0" w:before="0" w:line="480" w:lineRule="auto"/>
        <w:ind w:firstLine="720"/>
        <w:jc w:val="both"/>
        <w:rPr/>
      </w:pPr>
      <w:r>
        <w:rPr>
          <w:rFonts w:ascii="Times New Roman" w:hAnsi="Times New Roman"/>
          <w:sz w:val="24"/>
        </w:rPr>
        <w:t>For SOP 1, recurring accounts described gaming emerging behind concerns such as sleep, school refusal, mood, or a parent’s complaint. Several practitioners emphasized gaming’s function and balanced engagement, while Interviewee 4 placed greater emphasis on exposure itself. For SOP 2, the accounts described personal circumstances, basic needs, family, online peers, and game features as differently important across cases. For SOP 3, participants reported benefits and concerns, challenges involving families and adolescent commitment, and strategies such as rapport, regulation, alternatives, and psychoeducation. Some could not identify a benefit or a mixed case. These variations form part of the findings rather than exceptions to be omitted.</w:t>
      </w:r>
    </w:p>
    <w:p w:rsidR="00000000" w:rsidDel="00000000" w:rsidP="00000000" w:rsidRDefault="00000000" w:rsidRPr="00000000" w14:paraId="000000B6">
      <w:pPr>
        <w:spacing w:after="0" w:before="0" w:line="480" w:lineRule="auto"/>
        <w:ind w:firstLine="720"/>
        <w:jc w:val="both"/>
        <w:rPr/>
      </w:pPr>
      <w:r>
        <w:rPr>
          <w:rFonts w:ascii="Times New Roman" w:hAnsi="Times New Roman"/>
          <w:sz w:val="24"/>
        </w:rPr>
        <w:t>Recurring patterns included attention to daily functioning, the family’s role in stress and support, and accounts in which gaming had both benefits and concerns. These patterns were not uniform across participants. Interviewee 4 placed greater emphasis on exposure itself, while some participants reported few concerns or could not identify a benefit or mixed case.</w:t>
      </w:r>
    </w:p>
    <w:p w:rsidR="00000000" w:rsidDel="00000000" w:rsidP="00000000" w:rsidRDefault="00000000" w:rsidRPr="00000000" w14:paraId="000000B7">
      <w:pPr>
        <w:spacing w:after="0" w:before="0" w:line="480" w:lineRule="auto"/>
        <w:ind w:firstLine="720"/>
        <w:jc w:val="both"/>
        <w:rPr/>
      </w:pPr>
      <w:commentRangeStart w:id="2"/>
      <w:r>
        <w:rPr>
          <w:rFonts w:ascii="Times New Roman" w:hAnsi="Times New Roman"/>
          <w:sz w:val="24"/>
        </w:rPr>
        <w:t>The current dataset comprises five interviews and one written questionnaire. The workbook records 191 extracts and 86 distinct code labels, with 190 extracts assigned to fifteen themes and one unassigned. Eleven themes contain material from at least five participant codes, and four contain material from three or four. These coverage counts include negative or divergent cases and do not show unanimous agreement or population prevalence. The achieved sample is geographically concentrated and cannot represent all psychologists in Luzon.</w:t>
      </w:r>
      <w:commentRangeEnd w:id="2"/>
      <w:r>
        <w:rPr>
          <w:rStyle w:val="CommentReference"/>
        </w:rPr>
        <w:commentReference w:id="2"/>
      </w:r>
    </w:p>
    <w:p w:rsidR="00000000" w:rsidDel="00000000" w:rsidP="00000000" w:rsidRDefault="00000000" w:rsidRPr="00000000" w14:paraId="000000B8">
      <w:pPr>
        <w:spacing w:after="0" w:before="0" w:line="480" w:lineRule="auto"/>
        <w:ind w:firstLine="720"/>
        <w:jc w:val="both"/>
        <w:rPr/>
      </w:pPr>
      <w:r>
        <w:rPr>
          <w:rFonts w:ascii="Times New Roman" w:hAnsi="Times New Roman"/>
          <w:sz w:val="24"/>
        </w:rPr>
        <w:t>Recurring accounts can be compared with definitions of digital well-being in the literature. Vanden Abeele (2021) describes a dynamic balance shaped by the person’s circumstances, while Feerrar (2022) discusses maintaining physical, emotional, and social health during technology use. Several participants’ emphasis on balance and functioning aligns with these concepts, but does not establish a definition shared by the entire sample. Concerns about impairment also relate to the discussion of gaming disorder by Király et al. (2022), although this study did not assess diagnostic criteria. Columb et al. (2022) similarly identify the professional difficulty of distinguishing enthusiastic gaming from disorder.</w:t>
      </w:r>
    </w:p>
    <w:p>
      <w:pPr>
        <w:keepNext w:val="0"/>
        <w:keepLines w:val="0"/>
        <w:widowControl/>
        <w:spacing w:line="360" w:lineRule="auto" w:before="160" w:after="160"/>
        <w:ind w:left="864" w:right="864" w:firstLine="0"/>
        <w:jc w:val="center"/>
      </w:pPr>
      <w:r>
        <w:rPr>
          <w:rFonts w:ascii="Times New Roman" w:hAnsi="Times New Roman"/>
          <w:i/>
          <w:sz w:val="24"/>
        </w:rPr>
        <w:t>“digital well-being is not the complete absence of gaming. Hindi ibig sabihin na nagga-game ka, hindi ka na well. Hindi rin ibig sabihin na hindi ka nagga-game, well ka.”</w:t>
      </w:r>
      <w:r>
        <w:rPr>
          <w:rFonts w:ascii="Times New Roman" w:hAnsi="Times New Roman"/>
          <w:sz w:val="24"/>
        </w:rPr>
        <w:br/>
      </w:r>
      <w:r>
        <w:rPr>
          <w:rFonts w:ascii="Times New Roman" w:hAnsi="Times New Roman"/>
          <w:i/>
          <w:sz w:val="24"/>
        </w:rPr>
        <w:t>[Digital well-being is not the complete absence of gaming. Gaming does not mean you are not well. Not gaming does not mean you are well.]</w:t>
      </w:r>
      <w:r>
        <w:rPr>
          <w:rFonts w:ascii="Times New Roman" w:hAnsi="Times New Roman"/>
          <w:i w:val="0"/>
          <w:sz w:val="24"/>
        </w:rPr>
        <w:br/>
        <w:t>(Interviewee 5, 13:23)</w:t>
      </w:r>
    </w:p>
    <w:p w:rsidR="00000000" w:rsidDel="00000000" w:rsidP="00000000" w:rsidRDefault="00000000" w:rsidRPr="00000000" w14:paraId="000000B9">
      <w:pPr>
        <w:spacing w:after="0" w:before="0" w:line="480" w:lineRule="auto"/>
        <w:ind w:firstLine="720"/>
        <w:jc w:val="both"/>
        <w:rPr/>
      </w:pPr>
      <w:r>
        <w:rPr>
          <w:rFonts w:ascii="Times New Roman" w:hAnsi="Times New Roman"/>
          <w:sz w:val="24"/>
        </w:rPr>
        <w:t>The factors discussed by participants can be compared with associations in the reviewed studies. Uçur and Dönmez (2021) examine problematic gaming in relation to emotional regulation and perceived support. Yang et al. (2024) examine nonacademic digital-media use using a bioecological perspective and parent or caregiver survey responses; their broader media-use measure is not a direct measure of gaming or digital well-being. Rehbein et al. (2024) identify associations between selected game features and gaming-disorder indicators. These studies provide contextual comparisons rather than causal confirmation of the participants’ interpretations. Encallado et al. (2024) report enjoyment, connection, stress relief, and practical difficulties in Filipino adolescent gaming accounts, while Bitto Urbanova et al. (2023) describe broader digital risks and challenges. Similarities across these different populations and measures do not prove that the same mechanisms operate in each setting.</w:t>
      </w:r>
    </w:p>
    <w:p w:rsidR="00000000" w:rsidDel="00000000" w:rsidP="00000000" w:rsidRDefault="00000000" w:rsidRPr="00000000" w14:paraId="000000BA">
      <w:pPr>
        <w:spacing w:after="0" w:before="0" w:line="480" w:lineRule="auto"/>
        <w:ind w:firstLine="720"/>
        <w:jc w:val="both"/>
        <w:rPr/>
      </w:pPr>
      <w:r>
        <w:rPr>
          <w:rFonts w:ascii="Times New Roman" w:hAnsi="Times New Roman"/>
          <w:sz w:val="24"/>
        </w:rPr>
        <w:t>On practitioner challenges and responses, the accounts can be compared with Lo et al. (2021), whose participants described family involvement as both important and difficult and emphasized tailoring services to the case. The present participants similarly discussed tensions with parents and adolescents. This comparison concerns professional perspectives; neither the present accounts nor their similarity to literature establishes the effectiveness of a particular strategy or a causal explanation of a serious public incident.</w:t>
      </w:r>
    </w:p>
    <w:p w:rsidR="00000000" w:rsidDel="00000000" w:rsidP="00000000" w:rsidRDefault="00000000" w:rsidRPr="00000000" w14:paraId="000000BB">
      <w:pPr>
        <w:spacing w:after="0" w:before="0" w:line="480" w:lineRule="auto"/>
        <w:ind w:firstLine="720"/>
        <w:jc w:val="both"/>
        <w:rPr/>
      </w:pPr>
      <w:commentRangeStart w:id="3"/>
      <w:r>
        <w:rPr>
          <w:rFonts w:ascii="Times New Roman" w:hAnsi="Times New Roman"/>
          <w:sz w:val="24"/>
        </w:rPr>
        <w:t>The findings also contain positions that require qualification. Interviewee 4’s claim that screen exposure contributes to neurodivergence is reported as an individual interpretation and is not established by this study or endorsed as a clinical conclusion. The review introduced Kapampangan concepts such as pamagmasabal (Antonio, 2023), but no participant explicitly named that value. Kapwa was discussed by Interviewee 2 in more than one part of the account, including shared experience and rapport. This provides limited, situated cultural material rather than a general cultural explanation for the sample.</w:t>
      </w:r>
      <w:commentRangeEnd w:id="3"/>
      <w:r>
        <w:rPr>
          <w:rStyle w:val="CommentReference"/>
        </w:rPr>
        <w:commentReference w:id="3"/>
      </w:r>
    </w:p>
    <w:p w:rsidR="00000000" w:rsidDel="00000000" w:rsidP="00000000" w:rsidRDefault="00000000" w:rsidRPr="00000000" w14:paraId="000000BC">
      <w:pPr>
        <w:keepNext/>
        <w:ind w:firstLine="0"/>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i w:val="1"/>
          <w:iCs w:val="1"/>
          <w:color w:val="000000"/>
          <w:sz w:val="24"/>
          <w:szCs w:val="24"/>
          <w:rtl w:val="0"/>
        </w:rPr>
        <w:t xml:space="preserve">Conclusion</w:t>
      </w:r>
    </w:p>
    <w:p w:rsidR="00000000" w:rsidDel="00000000" w:rsidP="00000000" w:rsidRDefault="00000000" w:rsidRPr="00000000" w14:paraId="000000BD">
      <w:pPr>
        <w:spacing w:after="0" w:before="0" w:line="480" w:lineRule="auto"/>
        <w:ind w:firstLine="720"/>
        <w:jc w:val="both"/>
        <w:rPr/>
      </w:pPr>
      <w:r>
        <w:rPr>
          <w:rFonts w:ascii="Times New Roman" w:hAnsi="Times New Roman"/>
          <w:sz w:val="24"/>
        </w:rPr>
        <w:t>Regarding SOP 1, recurring accounts describe gaming emerging within wider concerns and being interpreted in relation to its meaning and effects on functioning. Balanced, controlled engagement was one recurring understanding of digital well-being, alongside Interviewee 4’s divergent concern about exposure itself. The conclusion therefore allows variation rather than defining one position shared by every participant.</w:t>
      </w:r>
    </w:p>
    <w:p w:rsidR="00000000" w:rsidDel="00000000" w:rsidP="00000000" w:rsidRDefault="00000000" w:rsidRPr="00000000" w14:paraId="000000BE">
      <w:pPr>
        <w:spacing w:after="0" w:before="0" w:line="480" w:lineRule="auto"/>
        <w:ind w:firstLine="720"/>
        <w:jc w:val="both"/>
        <w:rPr/>
      </w:pPr>
      <w:r>
        <w:rPr>
          <w:rFonts w:ascii="Times New Roman" w:hAnsi="Times New Roman"/>
          <w:sz w:val="24"/>
        </w:rPr>
        <w:t>Regarding SOP 2, participants described emotional circumstances, basic needs, family, peers, and game features as interconnected and differently important in different cases. Their proposed cycles and interactions remain professional interpretations; this study did not measure their causal direction or observe developmental change over time.</w:t>
      </w:r>
    </w:p>
    <w:p w:rsidR="00000000" w:rsidDel="00000000" w:rsidP="00000000" w:rsidRDefault="00000000" w:rsidRPr="00000000" w14:paraId="000000BF">
      <w:pPr>
        <w:spacing w:after="0" w:before="0" w:line="480" w:lineRule="auto"/>
        <w:ind w:firstLine="720"/>
        <w:jc w:val="both"/>
        <w:rPr/>
      </w:pPr>
      <w:r>
        <w:rPr>
          <w:rFonts w:ascii="Times New Roman" w:hAnsi="Times New Roman"/>
          <w:sz w:val="24"/>
        </w:rPr>
        <w:t>Regarding SOP 3, the accounts include benefits, concerns, mixed cases, and reports where such experiences were absent. Participants described challenges involving parents and adolescent commitment, and strategies involving contextual assessment, rapport, gradual regulation, and alternatives. These accounts do not establish that one strategy is suitable or effective for every adolescent.</w:t>
      </w:r>
    </w:p>
    <w:p>
      <w:pPr>
        <w:keepNext w:val="0"/>
        <w:keepLines w:val="0"/>
        <w:widowControl/>
        <w:spacing w:line="360" w:lineRule="auto" w:before="160" w:after="160"/>
        <w:ind w:left="864" w:right="864" w:firstLine="0"/>
        <w:jc w:val="center"/>
      </w:pPr>
      <w:r>
        <w:rPr>
          <w:rFonts w:ascii="Times New Roman" w:hAnsi="Times New Roman"/>
          <w:i/>
          <w:sz w:val="24"/>
        </w:rPr>
        <w:t>“The goal is not to simply reduce gaming, but to understand the gamer.”</w:t>
      </w:r>
      <w:r>
        <w:rPr>
          <w:rFonts w:ascii="Times New Roman" w:hAnsi="Times New Roman"/>
          <w:i w:val="0"/>
          <w:sz w:val="24"/>
        </w:rPr>
        <w:br/>
        <w:t>(Interviewee 5, 49:26)</w:t>
      </w:r>
    </w:p>
    <w:p w:rsidR="00000000" w:rsidDel="00000000" w:rsidP="00000000" w:rsidRDefault="00000000" w:rsidRPr="00000000" w14:paraId="000000C0">
      <w:pPr>
        <w:spacing w:after="0" w:before="0" w:line="480" w:lineRule="auto"/>
        <w:ind w:firstLine="720"/>
        <w:jc w:val="both"/>
        <w:rPr/>
      </w:pPr>
      <w:r>
        <w:rPr>
          <w:rFonts w:ascii="Times New Roman" w:hAnsi="Times New Roman"/>
          <w:sz w:val="24"/>
        </w:rPr>
        <w:t>Taken together, the accounts show why adolescent gaming can require contextual professional interpretation. What gaming provides, what it displaces, and the adolescent’s surrounding relationships mattered in recurring accounts, while divergent views remained. The findings describe this small group’s professional experiences rather than a general judgment about all gaming or all psychologists.</w:t>
      </w:r>
    </w:p>
    <w:p w:rsidR="00000000" w:rsidDel="00000000" w:rsidP="00000000" w:rsidRDefault="00000000" w:rsidRPr="00000000" w14:paraId="000000C1">
      <w:pPr>
        <w:spacing w:after="0" w:before="0" w:line="480" w:lineRule="auto"/>
        <w:ind w:firstLine="720"/>
        <w:jc w:val="both"/>
        <w:rPr/>
      </w:pPr>
      <w:r>
        <w:rPr>
          <w:rFonts w:ascii="Times New Roman" w:hAnsi="Times New Roman"/>
          <w:sz w:val="24"/>
        </w:rPr>
        <w:t>The gap identified among the reviewed studies concerned context-specific professional accounts of adolescent gaming among licensed psychologists in Luzon. The findings contribute descriptions of how these participants interpret cases and select responses, including differences in their positions. The study does not claim that such professional judgment had never been studied in the Philippines.</w:t>
      </w:r>
    </w:p>
    <w:p w:rsidR="00000000" w:rsidDel="00000000" w:rsidP="00000000" w:rsidRDefault="00000000" w:rsidRPr="00000000" w14:paraId="000000C2">
      <w:pPr>
        <w:spacing w:after="0" w:before="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study set out to describe the professional perspectives and lived professional experiences of psychologists regarding adolescent digital well-being in gaming environments. The fifteen themes answer this purpose by describing how the psychologists encounter and interpret gaming (SOP 1), which factors they weigh (SOP 2), and how they identify benefits and concerns, face challenges, and choose strategies in practice (SOP 3).</w:t>
      </w:r>
      <w:r w:rsidDel="00000000" w:rsidR="00000000" w:rsidRPr="00000000">
        <w:rPr>
          <w:rFonts w:ascii="Times New Roman" w:hAnsi="Times New Roman"/>
          <w:sz w:val="24"/>
          <w:rtl w:val="0"/>
        </w:rPr>
      </w:r>
    </w:p>
    <w:p w:rsidR="00000000" w:rsidDel="00000000" w:rsidP="00000000" w:rsidRDefault="00000000" w:rsidRPr="00000000" w14:paraId="000000C3">
      <w:pPr>
        <w:spacing w:after="0" w:before="0" w:line="480" w:lineRule="auto"/>
        <w:ind w:firstLine="720"/>
        <w:jc w:val="both"/>
        <w:rPr/>
      </w:pPr>
      <w:commentRangeStart w:id="4"/>
      <w:r>
        <w:rPr>
          <w:rFonts w:ascii="Times New Roman" w:hAnsi="Times New Roman"/>
          <w:sz w:val="24"/>
        </w:rPr>
        <w:t>PPCT provides a useful perspective on the accounts (Bronfenbrenner &amp; Morris, 2007). Person includes reported motives and emotional or developmental circumstances. Process concerns descriptions of recurring interaction, while Context includes family, peers, school connections, and wider institutional or cultural conditions. Directly encountered game features and online interactions are not automatically exosystem influences; organizational platform decisions or parents’ work arrangements may operate indirectly. Time includes changing routines, generational differences, and historical changes such as the pandemic. This is an interpretive mapping of accounts, not a test of proximal processes or a demonstrated developmental mechanism.</w:t>
      </w:r>
      <w:commentRangeEnd w:id="4"/>
      <w:r>
        <w:rPr>
          <w:rStyle w:val="CommentReference"/>
        </w:rPr>
        <w:commentReference w:id="4"/>
      </w:r>
    </w:p>
    <w:p w:rsidR="00000000" w:rsidDel="00000000" w:rsidP="00000000" w:rsidRDefault="00000000" w:rsidRPr="00000000" w14:paraId="000000C4">
      <w:pPr>
        <w:spacing w:after="0" w:before="0" w:line="480" w:lineRule="auto"/>
        <w:ind w:firstLine="720"/>
        <w:jc w:val="both"/>
        <w:rPr/>
      </w:pPr>
      <w:r>
        <w:rPr>
          <w:rFonts w:ascii="Times New Roman" w:hAnsi="Times New Roman"/>
          <w:sz w:val="24"/>
        </w:rPr>
        <w:t>The study contributes a context-specific description of six psychologists’ accounts, including attention to functioning, family involvement, rapport through shared experience, and gaming that emerges indirectly during professional work. Its difference from the reviewed adolescent and practitioner studies lies in this population, focus, and setting, rather than a verified claim of research priority. Implications for school mental health services under Republic Act No. 12080 (2024) remain possible applications; Care Centers were not directly evaluated.</w:t>
      </w:r>
    </w:p>
    <w:p w:rsidR="00000000" w:rsidDel="00000000" w:rsidP="00000000" w:rsidRDefault="00000000" w:rsidRPr="00000000" w14:paraId="000000C5">
      <w:pPr>
        <w:keepNext/>
        <w:ind w:firstLine="0"/>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i w:val="1"/>
          <w:iCs w:val="1"/>
          <w:color w:val="000000"/>
          <w:sz w:val="24"/>
          <w:szCs w:val="24"/>
          <w:rtl w:val="0"/>
        </w:rPr>
        <w:t xml:space="preserve">Recommendations</w:t>
      </w:r>
    </w:p>
    <w:p w:rsidR="00000000" w:rsidDel="00000000" w:rsidP="00000000" w:rsidRDefault="00000000" w:rsidRPr="00000000" w14:paraId="000000C6">
      <w:pPr>
        <w:spacing w:after="0" w:before="0" w:line="480" w:lineRule="auto"/>
        <w:ind w:firstLine="720"/>
        <w:jc w:val="both"/>
        <w:rPr/>
      </w:pPr>
      <w:commentRangeStart w:id="5"/>
      <w:r>
        <w:rPr>
          <w:rFonts w:ascii="Times New Roman" w:hAnsi="Times New Roman"/>
          <w:sz w:val="24"/>
        </w:rPr>
        <w:t>Psychologists and appropriately qualified school personnel may consider asking about gaming within a broader discussion of sleep, school, relationships, and routines. The accounts suggest possibilities such as understanding motives, negotiating regulation, involving families, and providing offline alternatives or psychoeducation. These options require individual professional judgment and were not tested for effectiveness here. Phone well-being settings should not be presented as an established gaming intervention because the cited participant explicitly questioned that application. Schools may consider relevant psychoeducation within mental health programs; this is a recommendation, not a gaming-specific requirement of Republic Act No. 12080 (2024).</w:t>
      </w:r>
      <w:commentRangeEnd w:id="5"/>
      <w:r>
        <w:rPr>
          <w:rStyle w:val="CommentReference"/>
        </w:rPr>
        <w:commentReference w:id="5"/>
      </w:r>
    </w:p>
    <w:p w:rsidR="00000000" w:rsidDel="00000000" w:rsidP="00000000" w:rsidRDefault="00000000" w:rsidRPr="00000000" w14:paraId="000000C7">
      <w:pPr>
        <w:spacing w:after="0" w:before="0" w:line="480" w:lineRule="auto"/>
        <w:ind w:firstLine="720"/>
        <w:jc w:val="both"/>
        <w:rPr/>
      </w:pPr>
      <w:commentRangeStart w:id="6"/>
      <w:r>
        <w:rPr>
          <w:rFonts w:ascii="Times New Roman" w:hAnsi="Times New Roman"/>
          <w:sz w:val="24"/>
        </w:rPr>
        <w:t>The revised recruitment plan targets five interviews and ideally five additional open-ended questionnaires; the achieved dataset remains five interviews and one questionnaire. Further responses may broaden the account but must be collected, checked, coded, and integrated before sample or theme totals are changed. Future studies may recruit across more Luzon practice contexts, include adolescent and parent accounts, examine locally situated cultural meanings without presuming them, or explore other digital activities. Longitudinal or appropriately designed comparative research could examine reported relationships among stress, gaming, and sleep. An individual causal claim about neurodivergence should not be treated as established evidence or as a recommendation for practice.</w:t>
      </w:r>
      <w:commentRangeEnd w:id="6"/>
      <w:r>
        <w:rPr>
          <w:rStyle w:val="CommentReference"/>
        </w:rPr>
        <w:commentReference w:id="6"/>
      </w:r>
    </w:p>
    <w:p w:rsidR="00000000" w:rsidDel="00000000" w:rsidP="00000000" w:rsidRDefault="00000000" w:rsidRPr="00000000" w14:paraId="000000C8">
      <w:pPr>
        <w:keepNext/>
        <w:spacing w:after="0" w:before="0" w:line="480" w:lineRule="auto"/>
        <w:ind w:firstLine="0"/>
        <w:jc w:val="left"/>
        <w:rPr/>
      </w:pPr>
      <w:r w:rsidDel="00000000" w:rsidR="00000000" w:rsidRPr="00000000">
        <w:rPr>
          <w:rFonts w:ascii="Times New Roman" w:cs="Times New Roman" w:eastAsia="Times New Roman" w:hAnsi="Times New Roman"/>
          <w:b/>
          <w:bCs w:val="1"/>
          <w:i w:val="0"/>
          <w:iCs w:val="0"/>
          <w:sz w:val="24"/>
          <w:szCs w:val="24"/>
          <w:rtl w:val="0"/>
        </w:rPr>
        <w:t xml:space="preserve">References</w:t>
      </w:r>
      <w:r w:rsidDel="00000000" w:rsidR="00000000" w:rsidRPr="00000000">
        <w:rPr>
          <w:rFonts w:ascii="Times New Roman" w:hAnsi="Times New Roman"/>
          <w:b/>
          <w:sz w:val="24"/>
          <w:rtl w:val="0"/>
        </w:rPr>
      </w:r>
    </w:p>
    <w:p w:rsidR="00000000" w:rsidDel="00000000" w:rsidP="00000000" w:rsidRDefault="00000000" w:rsidRPr="00000000" w14:paraId="000000C9">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Antonio, B. A. (2023). </w:t>
      </w:r>
      <w:r w:rsidDel="00000000" w:rsidR="00000000" w:rsidRPr="00000000">
        <w:rPr>
          <w:rFonts w:ascii="Times New Roman" w:cs="Times New Roman" w:eastAsia="Times New Roman" w:hAnsi="Times New Roman"/>
          <w:i w:val="1"/>
          <w:iCs w:val="1"/>
          <w:sz w:val="24"/>
          <w:szCs w:val="24"/>
          <w:rtl w:val="0"/>
        </w:rPr>
        <w:t xml:space="preserve">Pamagmasabal: A proposed environmental stewardship framework for the Kapampangan</w:t>
      </w:r>
      <w:r w:rsidDel="00000000" w:rsidR="00000000" w:rsidRPr="00000000">
        <w:rPr>
          <w:rFonts w:ascii="Times New Roman" w:cs="Times New Roman" w:eastAsia="Times New Roman" w:hAnsi="Times New Roman"/>
          <w:i w:val="0"/>
          <w:iCs w:val="0"/>
          <w:sz w:val="24"/>
          <w:szCs w:val="24"/>
          <w:rtl w:val="0"/>
        </w:rPr>
        <w:t xml:space="preserve"> [Doctoral dissertation, De La Salle University]. Animo Repository. https://animorepository.dlsu.edu.ph/etdd_tred/9</w:t>
      </w:r>
      <w:r w:rsidDel="00000000" w:rsidR="00000000" w:rsidRPr="00000000">
        <w:rPr>
          <w:rFonts w:ascii="Times New Roman" w:hAnsi="Times New Roman"/>
          <w:sz w:val="24"/>
          <w:rtl w:val="0"/>
        </w:rPr>
      </w:r>
    </w:p>
    <w:p w:rsidR="00000000" w:rsidDel="00000000" w:rsidP="00000000" w:rsidRDefault="00000000" w:rsidRPr="00000000" w14:paraId="000000CB">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Basic Education Mental Health and Well-Being Promotion Act, Republic Act No. 12080 (2024). https://lawphil.net/statutes/repacts/ra2024/ra_12080_2024.html</w:t>
      </w:r>
      <w:r w:rsidDel="00000000" w:rsidR="00000000" w:rsidRPr="00000000">
        <w:rPr>
          <w:rFonts w:ascii="Times New Roman" w:hAnsi="Times New Roman"/>
          <w:sz w:val="24"/>
          <w:rtl w:val="0"/>
        </w:rPr>
      </w:r>
    </w:p>
    <w:p w:rsidR="00000000" w:rsidDel="00000000" w:rsidP="00000000" w:rsidRDefault="00000000" w:rsidRPr="00000000" w14:paraId="000000CC">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Bitto Urbanova, L., Madarasova Geckova, A., Dankulincova Veselska, Z., Capikova, S., Holubcikova, J., van Dijk, J. P., &amp; Reijneveld, S. A. (2023). “I could do almost nothing without digital technology”: A qualitative exploration of adolescents' perception of the risks and challenges of digital technology. </w:t>
      </w:r>
      <w:r w:rsidDel="00000000" w:rsidR="00000000" w:rsidRPr="00000000">
        <w:rPr>
          <w:rFonts w:ascii="Times New Roman" w:cs="Times New Roman" w:eastAsia="Times New Roman" w:hAnsi="Times New Roman"/>
          <w:i w:val="1"/>
          <w:iCs w:val="1"/>
          <w:sz w:val="24"/>
          <w:szCs w:val="24"/>
          <w:rtl w:val="0"/>
        </w:rPr>
        <w:t xml:space="preserve">Frontiers in Psychology, 14</w:t>
      </w:r>
      <w:r w:rsidDel="00000000" w:rsidR="00000000" w:rsidRPr="00000000">
        <w:rPr>
          <w:rFonts w:ascii="Times New Roman" w:cs="Times New Roman" w:eastAsia="Times New Roman" w:hAnsi="Times New Roman"/>
          <w:i w:val="0"/>
          <w:iCs w:val="0"/>
          <w:sz w:val="24"/>
          <w:szCs w:val="24"/>
          <w:rtl w:val="0"/>
        </w:rPr>
        <w:t xml:space="preserve">, Article 1237452. https://doi.org/10.3389/fpsyg.2023.1237452</w:t>
      </w:r>
      <w:r w:rsidDel="00000000" w:rsidR="00000000" w:rsidRPr="00000000">
        <w:rPr>
          <w:rFonts w:ascii="Times New Roman" w:hAnsi="Times New Roman"/>
          <w:sz w:val="24"/>
          <w:rtl w:val="0"/>
        </w:rPr>
      </w:r>
    </w:p>
    <w:p w:rsidR="00000000" w:rsidDel="00000000" w:rsidP="00000000" w:rsidRDefault="00000000" w:rsidRPr="00000000" w14:paraId="000000CD">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Braun, V., &amp; Clarke, V. (2006). Using thematic analysis in psychology. </w:t>
      </w:r>
      <w:r w:rsidDel="00000000" w:rsidR="00000000" w:rsidRPr="00000000">
        <w:rPr>
          <w:rFonts w:ascii="Times New Roman" w:cs="Times New Roman" w:eastAsia="Times New Roman" w:hAnsi="Times New Roman"/>
          <w:i w:val="1"/>
          <w:iCs w:val="1"/>
          <w:sz w:val="24"/>
          <w:szCs w:val="24"/>
          <w:rtl w:val="0"/>
        </w:rPr>
        <w:t xml:space="preserve">Qualitative Research in Psychology, 3</w:t>
      </w:r>
      <w:r w:rsidDel="00000000" w:rsidR="00000000" w:rsidRPr="00000000">
        <w:rPr>
          <w:rFonts w:ascii="Times New Roman" w:cs="Times New Roman" w:eastAsia="Times New Roman" w:hAnsi="Times New Roman"/>
          <w:i w:val="0"/>
          <w:iCs w:val="0"/>
          <w:sz w:val="24"/>
          <w:szCs w:val="24"/>
          <w:rtl w:val="0"/>
        </w:rPr>
        <w:t xml:space="preserve">(2), 77–101. https://doi.org/10.1191/1478088706qp063oa</w:t>
      </w:r>
      <w:r w:rsidDel="00000000" w:rsidR="00000000" w:rsidRPr="00000000">
        <w:rPr>
          <w:rFonts w:ascii="Times New Roman" w:hAnsi="Times New Roman"/>
          <w:sz w:val="24"/>
          <w:rtl w:val="0"/>
        </w:rPr>
      </w:r>
    </w:p>
    <w:p w:rsidR="00000000" w:rsidDel="00000000" w:rsidP="00000000" w:rsidRDefault="00000000" w:rsidRPr="00000000" w14:paraId="000000CE">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Bronfenbrenner, U., &amp; Morris, P. A. (2007). The bioecological model of human development. In W. Damon &amp; R. M. Lerner (Eds.), </w:t>
      </w:r>
      <w:r w:rsidDel="00000000" w:rsidR="00000000" w:rsidRPr="00000000">
        <w:rPr>
          <w:rFonts w:ascii="Times New Roman" w:cs="Times New Roman" w:eastAsia="Times New Roman" w:hAnsi="Times New Roman"/>
          <w:i w:val="1"/>
          <w:iCs w:val="1"/>
          <w:sz w:val="24"/>
          <w:szCs w:val="24"/>
          <w:rtl w:val="0"/>
        </w:rPr>
        <w:t xml:space="preserve">Handbook of child psychology: Vol. 1. Theoretical models of human development</w:t>
      </w:r>
      <w:r w:rsidDel="00000000" w:rsidR="00000000" w:rsidRPr="00000000">
        <w:rPr>
          <w:rFonts w:ascii="Times New Roman" w:cs="Times New Roman" w:eastAsia="Times New Roman" w:hAnsi="Times New Roman"/>
          <w:i w:val="0"/>
          <w:iCs w:val="0"/>
          <w:sz w:val="24"/>
          <w:szCs w:val="24"/>
          <w:rtl w:val="0"/>
        </w:rPr>
        <w:t xml:space="preserve"> (6th ed., pp. 793–828). John Wiley &amp; Sons. https://doi.org/10.1002/9780470147658.chpsy0114</w:t>
      </w:r>
      <w:r w:rsidDel="00000000" w:rsidR="00000000" w:rsidRPr="00000000">
        <w:rPr>
          <w:rFonts w:ascii="Times New Roman" w:hAnsi="Times New Roman"/>
          <w:sz w:val="24"/>
          <w:rtl w:val="0"/>
        </w:rPr>
      </w:r>
    </w:p>
    <w:p w:rsidR="00000000" w:rsidDel="00000000" w:rsidP="00000000" w:rsidRDefault="00000000" w:rsidRPr="00000000" w14:paraId="000000CF">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Columb, D., Griffiths, M. D., &amp; O'Gara, C. (2022). Online gaming and gaming disorder: More than just a trivial pursuit. </w:t>
      </w:r>
      <w:r w:rsidDel="00000000" w:rsidR="00000000" w:rsidRPr="00000000">
        <w:rPr>
          <w:rFonts w:ascii="Times New Roman" w:cs="Times New Roman" w:eastAsia="Times New Roman" w:hAnsi="Times New Roman"/>
          <w:i w:val="1"/>
          <w:iCs w:val="1"/>
          <w:sz w:val="24"/>
          <w:szCs w:val="24"/>
          <w:rtl w:val="0"/>
        </w:rPr>
        <w:t xml:space="preserve">Irish Journal of Psychological Medicine, 39</w:t>
      </w:r>
      <w:r w:rsidDel="00000000" w:rsidR="00000000" w:rsidRPr="00000000">
        <w:rPr>
          <w:rFonts w:ascii="Times New Roman" w:cs="Times New Roman" w:eastAsia="Times New Roman" w:hAnsi="Times New Roman"/>
          <w:i w:val="0"/>
          <w:iCs w:val="0"/>
          <w:sz w:val="24"/>
          <w:szCs w:val="24"/>
          <w:rtl w:val="0"/>
        </w:rPr>
        <w:t xml:space="preserve">(1), 1–7. https://doi.org/10.1017/ipm.2019.31</w:t>
      </w:r>
      <w:r w:rsidDel="00000000" w:rsidR="00000000" w:rsidRPr="00000000">
        <w:rPr>
          <w:rFonts w:ascii="Times New Roman" w:hAnsi="Times New Roman"/>
          <w:sz w:val="24"/>
          <w:rtl w:val="0"/>
        </w:rPr>
      </w:r>
    </w:p>
    <w:p w:rsidR="00000000" w:rsidDel="00000000" w:rsidP="00000000" w:rsidRDefault="00000000" w:rsidRPr="00000000" w14:paraId="000000D0">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Encallado, H. P., Cruz, L. D., III, Emfimo, E. T., Gavilan, J. D., &amp; Cayogyog, A. O. (2024). Navigating the digital playground: Lived experiences, risks, and benefits of online gaming among senior high school students. </w:t>
      </w:r>
      <w:r w:rsidDel="00000000" w:rsidR="00000000" w:rsidRPr="00000000">
        <w:rPr>
          <w:rFonts w:ascii="Times New Roman" w:cs="Times New Roman" w:eastAsia="Times New Roman" w:hAnsi="Times New Roman"/>
          <w:i w:val="1"/>
          <w:iCs w:val="1"/>
          <w:sz w:val="24"/>
          <w:szCs w:val="24"/>
          <w:rtl w:val="0"/>
        </w:rPr>
        <w:t xml:space="preserve">International Journal of Research and Innovation in Social Science, 8</w:t>
      </w:r>
      <w:r w:rsidDel="00000000" w:rsidR="00000000" w:rsidRPr="00000000">
        <w:rPr>
          <w:rFonts w:ascii="Times New Roman" w:cs="Times New Roman" w:eastAsia="Times New Roman" w:hAnsi="Times New Roman"/>
          <w:i w:val="0"/>
          <w:iCs w:val="0"/>
          <w:sz w:val="24"/>
          <w:szCs w:val="24"/>
          <w:rtl w:val="0"/>
        </w:rPr>
        <w:t xml:space="preserve">(6), 2773–2789. https://doi.org/10.47772/IJRISS.2024.806211</w:t>
      </w:r>
      <w:r w:rsidDel="00000000" w:rsidR="00000000" w:rsidRPr="00000000">
        <w:rPr>
          <w:rFonts w:ascii="Times New Roman" w:hAnsi="Times New Roman"/>
          <w:sz w:val="24"/>
          <w:rtl w:val="0"/>
        </w:rPr>
      </w:r>
    </w:p>
    <w:p w:rsidR="00000000" w:rsidDel="00000000" w:rsidP="00000000" w:rsidRDefault="00000000" w:rsidRPr="00000000" w14:paraId="000000D1">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Feerrar, J. (2022). Bringing digital well-being into the heart of digital media literacies. </w:t>
      </w:r>
      <w:r w:rsidDel="00000000" w:rsidR="00000000" w:rsidRPr="00000000">
        <w:rPr>
          <w:rFonts w:ascii="Times New Roman" w:cs="Times New Roman" w:eastAsia="Times New Roman" w:hAnsi="Times New Roman"/>
          <w:i w:val="1"/>
          <w:iCs w:val="1"/>
          <w:sz w:val="24"/>
          <w:szCs w:val="24"/>
          <w:rtl w:val="0"/>
        </w:rPr>
        <w:t xml:space="preserve">Journal of Media Literacy Education, 14</w:t>
      </w:r>
      <w:r w:rsidDel="00000000" w:rsidR="00000000" w:rsidRPr="00000000">
        <w:rPr>
          <w:rFonts w:ascii="Times New Roman" w:cs="Times New Roman" w:eastAsia="Times New Roman" w:hAnsi="Times New Roman"/>
          <w:i w:val="0"/>
          <w:iCs w:val="0"/>
          <w:sz w:val="24"/>
          <w:szCs w:val="24"/>
          <w:rtl w:val="0"/>
        </w:rPr>
        <w:t xml:space="preserve">(2), 72–77. https://doi.org/10.23860/jmle-2022-14-2-6</w:t>
      </w:r>
      <w:r w:rsidDel="00000000" w:rsidR="00000000" w:rsidRPr="00000000">
        <w:rPr>
          <w:rFonts w:ascii="Times New Roman" w:hAnsi="Times New Roman"/>
          <w:sz w:val="24"/>
          <w:rtl w:val="0"/>
        </w:rPr>
      </w:r>
    </w:p>
    <w:p w:rsidR="00000000" w:rsidDel="00000000" w:rsidP="00000000" w:rsidRDefault="00000000" w:rsidRPr="00000000" w14:paraId="000000D2">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Király, O., Potenza, M. N., &amp; Demetrovics, Z. (2022). Gaming disorder: Current research directions. </w:t>
      </w:r>
      <w:r w:rsidDel="00000000" w:rsidR="00000000" w:rsidRPr="00000000">
        <w:rPr>
          <w:rFonts w:ascii="Times New Roman" w:cs="Times New Roman" w:eastAsia="Times New Roman" w:hAnsi="Times New Roman"/>
          <w:i w:val="1"/>
          <w:iCs w:val="1"/>
          <w:sz w:val="24"/>
          <w:szCs w:val="24"/>
          <w:rtl w:val="0"/>
        </w:rPr>
        <w:t xml:space="preserve">Current Opinion in Behavioral Sciences, 47</w:t>
      </w:r>
      <w:r w:rsidDel="00000000" w:rsidR="00000000" w:rsidRPr="00000000">
        <w:rPr>
          <w:rFonts w:ascii="Times New Roman" w:cs="Times New Roman" w:eastAsia="Times New Roman" w:hAnsi="Times New Roman"/>
          <w:i w:val="0"/>
          <w:iCs w:val="0"/>
          <w:sz w:val="24"/>
          <w:szCs w:val="24"/>
          <w:rtl w:val="0"/>
        </w:rPr>
        <w:t xml:space="preserve">, Article 101204. https://doi.org/10.1016/j.cobeha.2022.101204</w:t>
      </w:r>
      <w:r w:rsidDel="00000000" w:rsidR="00000000" w:rsidRPr="00000000">
        <w:rPr>
          <w:rFonts w:ascii="Times New Roman" w:hAnsi="Times New Roman"/>
          <w:sz w:val="24"/>
          <w:rtl w:val="0"/>
        </w:rPr>
      </w:r>
    </w:p>
    <w:p w:rsidR="00000000" w:rsidDel="00000000" w:rsidP="00000000" w:rsidRDefault="00000000" w:rsidRPr="00000000" w14:paraId="000000D3">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Lo, C. K. M., Yu, L., Cho, Y. W., &amp; Chan, K. L. (2021). A qualitative study of practitioners' views on family involvement in treatment process of adolescent internet addiction. </w:t>
      </w:r>
      <w:r w:rsidDel="00000000" w:rsidR="00000000" w:rsidRPr="00000000">
        <w:rPr>
          <w:rFonts w:ascii="Times New Roman" w:cs="Times New Roman" w:eastAsia="Times New Roman" w:hAnsi="Times New Roman"/>
          <w:i w:val="1"/>
          <w:iCs w:val="1"/>
          <w:sz w:val="24"/>
          <w:szCs w:val="24"/>
          <w:rtl w:val="0"/>
        </w:rPr>
        <w:t xml:space="preserve">International Journal of Environmental Research and Public Health, 18</w:t>
      </w:r>
      <w:r w:rsidDel="00000000" w:rsidR="00000000" w:rsidRPr="00000000">
        <w:rPr>
          <w:rFonts w:ascii="Times New Roman" w:cs="Times New Roman" w:eastAsia="Times New Roman" w:hAnsi="Times New Roman"/>
          <w:i w:val="0"/>
          <w:iCs w:val="0"/>
          <w:sz w:val="24"/>
          <w:szCs w:val="24"/>
          <w:rtl w:val="0"/>
        </w:rPr>
        <w:t xml:space="preserve">(1), Article 86. https://doi.org/10.3390/ijerph18010086</w:t>
      </w:r>
      <w:r w:rsidDel="00000000" w:rsidR="00000000" w:rsidRPr="00000000">
        <w:rPr>
          <w:rFonts w:ascii="Times New Roman" w:hAnsi="Times New Roman"/>
          <w:sz w:val="24"/>
          <w:rtl w:val="0"/>
        </w:rPr>
      </w:r>
    </w:p>
    <w:p w:rsidR="00000000" w:rsidDel="00000000" w:rsidP="00000000" w:rsidRDefault="00000000" w:rsidRPr="00000000" w14:paraId="000000D4">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Maninang, J. (2025). On kapwa: A core concept in Filipino social psychology. </w:t>
      </w:r>
      <w:r w:rsidDel="00000000" w:rsidR="00000000" w:rsidRPr="00000000">
        <w:rPr>
          <w:rFonts w:ascii="Times New Roman" w:cs="Times New Roman" w:eastAsia="Times New Roman" w:hAnsi="Times New Roman"/>
          <w:i w:val="1"/>
          <w:iCs w:val="1"/>
          <w:sz w:val="24"/>
          <w:szCs w:val="24"/>
          <w:rtl w:val="0"/>
        </w:rPr>
        <w:t xml:space="preserve">Philosophia: A Journal of the Department of Philosophy, Xavier University–Ateneo de Cagayan, 3</w:t>
      </w:r>
      <w:r w:rsidDel="00000000" w:rsidR="00000000" w:rsidRPr="00000000">
        <w:rPr>
          <w:rFonts w:ascii="Times New Roman" w:cs="Times New Roman" w:eastAsia="Times New Roman" w:hAnsi="Times New Roman"/>
          <w:i w:val="0"/>
          <w:iCs w:val="0"/>
          <w:sz w:val="24"/>
          <w:szCs w:val="24"/>
          <w:rtl w:val="0"/>
        </w:rPr>
        <w:t xml:space="preserve">(1), 5–11. https://philarchive.org/rec/MANOKA</w:t>
      </w:r>
      <w:r w:rsidDel="00000000" w:rsidR="00000000" w:rsidRPr="00000000">
        <w:rPr>
          <w:rFonts w:ascii="Times New Roman" w:hAnsi="Times New Roman"/>
          <w:sz w:val="24"/>
          <w:rtl w:val="0"/>
        </w:rPr>
      </w:r>
    </w:p>
    <w:p w:rsidR="00000000" w:rsidDel="00000000" w:rsidP="00000000" w:rsidRDefault="00000000" w:rsidRPr="00000000" w14:paraId="000000D5">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Rehbein, F., Gentile, D. A., Lemmens, J., &amp; Rumpf, H.-J. (2024). Structural game characteristics and problematic gaming: Introduction of the Risk Characteristics Checklist for Games (RCCG). </w:t>
      </w:r>
      <w:r w:rsidDel="00000000" w:rsidR="00000000" w:rsidRPr="00000000">
        <w:rPr>
          <w:rFonts w:ascii="Times New Roman" w:cs="Times New Roman" w:eastAsia="Times New Roman" w:hAnsi="Times New Roman"/>
          <w:i w:val="1"/>
          <w:iCs w:val="1"/>
          <w:sz w:val="24"/>
          <w:szCs w:val="24"/>
          <w:rtl w:val="0"/>
        </w:rPr>
        <w:t xml:space="preserve">SUCHT, 70</w:t>
      </w:r>
      <w:r w:rsidDel="00000000" w:rsidR="00000000" w:rsidRPr="00000000">
        <w:rPr>
          <w:rFonts w:ascii="Times New Roman" w:cs="Times New Roman" w:eastAsia="Times New Roman" w:hAnsi="Times New Roman"/>
          <w:i w:val="0"/>
          <w:iCs w:val="0"/>
          <w:sz w:val="24"/>
          <w:szCs w:val="24"/>
          <w:rtl w:val="0"/>
        </w:rPr>
        <w:t xml:space="preserve">(2), 77–86. https://doi.org/10.1024/0939-5911/a000859</w:t>
      </w:r>
      <w:r w:rsidDel="00000000" w:rsidR="00000000" w:rsidRPr="00000000">
        <w:rPr>
          <w:rFonts w:ascii="Times New Roman" w:hAnsi="Times New Roman"/>
          <w:sz w:val="24"/>
          <w:rtl w:val="0"/>
        </w:rPr>
      </w:r>
    </w:p>
    <w:p w:rsidR="00000000" w:rsidDel="00000000" w:rsidP="00000000" w:rsidRDefault="00000000" w:rsidRPr="00000000" w14:paraId="000000D7">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Uçur, Ö., &amp; Dönmez, Y. E. (2021). Problematic internet gaming in adolescents, and its relationship with emotional regulation and perceived social support. </w:t>
      </w:r>
      <w:r w:rsidDel="00000000" w:rsidR="00000000" w:rsidRPr="00000000">
        <w:rPr>
          <w:rFonts w:ascii="Times New Roman" w:cs="Times New Roman" w:eastAsia="Times New Roman" w:hAnsi="Times New Roman"/>
          <w:i w:val="1"/>
          <w:iCs w:val="1"/>
          <w:sz w:val="24"/>
          <w:szCs w:val="24"/>
          <w:rtl w:val="0"/>
        </w:rPr>
        <w:t xml:space="preserve">Psychiatry Research, 296</w:t>
      </w:r>
      <w:r w:rsidDel="00000000" w:rsidR="00000000" w:rsidRPr="00000000">
        <w:rPr>
          <w:rFonts w:ascii="Times New Roman" w:cs="Times New Roman" w:eastAsia="Times New Roman" w:hAnsi="Times New Roman"/>
          <w:i w:val="0"/>
          <w:iCs w:val="0"/>
          <w:sz w:val="24"/>
          <w:szCs w:val="24"/>
          <w:rtl w:val="0"/>
        </w:rPr>
        <w:t xml:space="preserve">, Article 113678. https://doi.org/10.1016/j.psychres.2020.113678</w:t>
      </w:r>
      <w:r w:rsidDel="00000000" w:rsidR="00000000" w:rsidRPr="00000000">
        <w:rPr>
          <w:rFonts w:ascii="Times New Roman" w:hAnsi="Times New Roman"/>
          <w:sz w:val="24"/>
          <w:rtl w:val="0"/>
        </w:rPr>
      </w:r>
    </w:p>
    <w:p w:rsidR="00000000" w:rsidDel="00000000" w:rsidP="00000000" w:rsidRDefault="00000000" w:rsidRPr="00000000" w14:paraId="000000D8">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Vanden Abeele, M. M. P. (2021). Digital wellbeing as a dynamic construct. </w:t>
      </w:r>
      <w:r w:rsidDel="00000000" w:rsidR="00000000" w:rsidRPr="00000000">
        <w:rPr>
          <w:rFonts w:ascii="Times New Roman" w:cs="Times New Roman" w:eastAsia="Times New Roman" w:hAnsi="Times New Roman"/>
          <w:i w:val="1"/>
          <w:iCs w:val="1"/>
          <w:sz w:val="24"/>
          <w:szCs w:val="24"/>
          <w:rtl w:val="0"/>
        </w:rPr>
        <w:t xml:space="preserve">Communication Theory, 31</w:t>
      </w:r>
      <w:r w:rsidDel="00000000" w:rsidR="00000000" w:rsidRPr="00000000">
        <w:rPr>
          <w:rFonts w:ascii="Times New Roman" w:cs="Times New Roman" w:eastAsia="Times New Roman" w:hAnsi="Times New Roman"/>
          <w:i w:val="0"/>
          <w:iCs w:val="0"/>
          <w:sz w:val="24"/>
          <w:szCs w:val="24"/>
          <w:rtl w:val="0"/>
        </w:rPr>
        <w:t xml:space="preserve">(4), 932–955. https://doi.org/10.1093/ct/qtaa024</w:t>
      </w:r>
      <w:r w:rsidDel="00000000" w:rsidR="00000000" w:rsidRPr="00000000">
        <w:rPr>
          <w:rFonts w:ascii="Times New Roman" w:hAnsi="Times New Roman"/>
          <w:sz w:val="24"/>
          <w:rtl w:val="0"/>
        </w:rPr>
      </w:r>
    </w:p>
    <w:p w:rsidR="00000000" w:rsidDel="00000000" w:rsidP="00000000" w:rsidRDefault="00000000" w:rsidRPr="00000000" w14:paraId="000000D9">
      <w:pPr>
        <w:spacing w:after="0" w:before="0" w:line="480" w:lineRule="auto"/>
        <w:ind w:left="720" w:hanging="720"/>
        <w:jc w:val="both"/>
        <w:rPr/>
      </w:pPr>
      <w:r w:rsidDel="00000000" w:rsidR="00000000" w:rsidRPr="00000000">
        <w:rPr>
          <w:rFonts w:ascii="Times New Roman" w:cs="Times New Roman" w:eastAsia="Times New Roman" w:hAnsi="Times New Roman"/>
          <w:b w:val="0"/>
          <w:bCs w:val="0"/>
          <w:i w:val="0"/>
          <w:iCs w:val="0"/>
          <w:sz w:val="24"/>
          <w:szCs w:val="24"/>
          <w:rtl w:val="0"/>
        </w:rPr>
        <w:t xml:space="preserve">Yang, H., Yang, S., Yang, Y., &amp; Tan, Q. Y. J. (2024). Multidimensional predictors of adolescents' nonacademic digital media use in the United States: Insights from a bioecological perspective. </w:t>
      </w:r>
      <w:r w:rsidDel="00000000" w:rsidR="00000000" w:rsidRPr="00000000">
        <w:rPr>
          <w:rFonts w:ascii="Times New Roman" w:cs="Times New Roman" w:eastAsia="Times New Roman" w:hAnsi="Times New Roman"/>
          <w:i w:val="1"/>
          <w:iCs w:val="1"/>
          <w:sz w:val="24"/>
          <w:szCs w:val="24"/>
          <w:rtl w:val="0"/>
        </w:rPr>
        <w:t xml:space="preserve">Journal of Children and Media, 18</w:t>
      </w:r>
      <w:r w:rsidDel="00000000" w:rsidR="00000000" w:rsidRPr="00000000">
        <w:rPr>
          <w:rFonts w:ascii="Times New Roman" w:cs="Times New Roman" w:eastAsia="Times New Roman" w:hAnsi="Times New Roman"/>
          <w:i w:val="0"/>
          <w:iCs w:val="0"/>
          <w:sz w:val="24"/>
          <w:szCs w:val="24"/>
          <w:rtl w:val="0"/>
        </w:rPr>
        <w:t xml:space="preserve">(2), 178–197. https://doi.org/10.1080/17482798.2024.2334933</w:t>
      </w:r>
      <w:r w:rsidDel="00000000" w:rsidR="00000000" w:rsidRPr="00000000">
        <w:rPr>
          <w:rFonts w:ascii="Times New Roman" w:hAnsi="Times New Roman"/>
          <w:sz w:val="24"/>
          <w:rtl w:val="0"/>
        </w:rPr>
      </w:r>
    </w:p>
    <w:p w:rsidR="00000000" w:rsidDel="00000000" w:rsidP="00000000" w:rsidRDefault="00000000" w:rsidRPr="00000000" w14:paraId="000000DA">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Scoring Rubric for Discussion</w:t>
      </w:r>
    </w:p>
    <w:tbl>
      <w:tblPr>
        <w:tblStyle w:val="Table2"/>
        <w:tblW w:w="9072.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CRITERIA</w:t>
            </w:r>
            <w:r w:rsidDel="00000000" w:rsidR="00000000" w:rsidRPr="00000000">
              <w:rPr>
                <w:rFonts w:ascii="Times New Roman" w:cs="Times New Roman" w:eastAsia="Times New Roman" w:hAnsi="Times New Roman"/>
                <w:color w:val="000000"/>
                <w:sz w:val="20"/>
                <w:szCs w:val="20"/>
                <w:rtl w:val="0"/>
              </w:rPr>
              <w:tab/>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OUTSTANDING</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D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(10-8)</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FAIR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(7-5)</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NEEDS IMPROVEMENT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0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(4-1)</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CONTENT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has exemplary content. It is well-written and well-detailed. All the needed content is included in the write-up.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has good content. It is well-written. The content is minimal, but it is substantial.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has limited content. It is poorly written. There is a lack of content.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CLARITY AND ORGANIZATION OF CONTENT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in a clear and coherent manner. All ideas are presented logically.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in a tolerable manner. Most ideas are presented logically.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in an unclear and incoherent manner. Most ideas are presented illogically.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GRAMMAR, PUNCTUATION, AND LANGUAGE UTILITY</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by strictly abiding the standard rules for grammar and punctuation. The English language is properly utilized.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by somehow abiding the standard rules for grammar and punctuation. The English language is utilized fairly.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not abiding the standard rules for grammar and punctuation. The English language is utilized poorly.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TECHNICAL RESEARCH FORMAT (APA 7</w:t>
            </w:r>
            <w:r w:rsidDel="00000000" w:rsidR="00000000" w:rsidRPr="00000000">
              <w:rPr>
                <w:rFonts w:ascii="Times New Roman" w:cs="Times New Roman" w:eastAsia="Times New Roman" w:hAnsi="Times New Roman"/>
                <w:b w:val="1"/>
                <w:bCs w:val="1"/>
                <w:color w:val="000000"/>
                <w:sz w:val="20"/>
                <w:szCs w:val="20"/>
                <w:vertAlign w:val="superscript"/>
                <w:rtl w:val="0"/>
              </w:rPr>
              <w:t xml:space="preserve">TH</w:t>
            </w:r>
            <w:r w:rsidDel="00000000" w:rsidR="00000000" w:rsidRPr="00000000">
              <w:rPr>
                <w:rFonts w:ascii="Times New Roman" w:cs="Times New Roman" w:eastAsia="Times New Roman" w:hAnsi="Times New Roman"/>
                <w:b w:val="1"/>
                <w:bCs w:val="1"/>
                <w:color w:val="000000"/>
                <w:sz w:val="20"/>
                <w:szCs w:val="20"/>
                <w:rtl w:val="0"/>
              </w:rPr>
              <w:t xml:space="preserve"> EDITION)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by strictly following the guidelines of the APA 7</w:t>
            </w:r>
            <w:r w:rsidDel="00000000" w:rsidR="00000000" w:rsidRPr="00000000">
              <w:rPr>
                <w:rFonts w:ascii="Times New Roman" w:cs="Times New Roman" w:eastAsia="Times New Roman" w:hAnsi="Times New Roman"/>
                <w:color w:val="000000"/>
                <w:sz w:val="20"/>
                <w:szCs w:val="20"/>
                <w:vertAlign w:val="superscript"/>
                <w:rtl w:val="0"/>
              </w:rPr>
              <w:t xml:space="preserve">th</w:t>
            </w:r>
            <w:r w:rsidDel="00000000" w:rsidR="00000000" w:rsidRPr="00000000">
              <w:rPr>
                <w:rFonts w:ascii="Times New Roman" w:cs="Times New Roman" w:eastAsia="Times New Roman" w:hAnsi="Times New Roman"/>
                <w:color w:val="000000"/>
                <w:sz w:val="20"/>
                <w:szCs w:val="20"/>
                <w:rtl w:val="0"/>
              </w:rPr>
              <w:t xml:space="preserve"> Edition for writing a research paper. All content strictly adhered to the technical guidelines.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written by somehow following the guidelines of the APA 7</w:t>
            </w:r>
            <w:r w:rsidDel="00000000" w:rsidR="00000000" w:rsidRPr="00000000">
              <w:rPr>
                <w:rFonts w:ascii="Times New Roman" w:cs="Times New Roman" w:eastAsia="Times New Roman" w:hAnsi="Times New Roman"/>
                <w:color w:val="000000"/>
                <w:sz w:val="20"/>
                <w:szCs w:val="20"/>
                <w:vertAlign w:val="superscript"/>
                <w:rtl w:val="0"/>
              </w:rPr>
              <w:t xml:space="preserve">th</w:t>
            </w:r>
            <w:r w:rsidDel="00000000" w:rsidR="00000000" w:rsidRPr="00000000">
              <w:rPr>
                <w:rFonts w:ascii="Times New Roman" w:cs="Times New Roman" w:eastAsia="Times New Roman" w:hAnsi="Times New Roman"/>
                <w:color w:val="000000"/>
                <w:sz w:val="20"/>
                <w:szCs w:val="20"/>
                <w:rtl w:val="0"/>
              </w:rPr>
              <w:t xml:space="preserve"> Edition for writing a research paper. Most content adhered to the technical guidelines.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not written following the guidelines of the APA 7</w:t>
            </w:r>
            <w:r w:rsidDel="00000000" w:rsidR="00000000" w:rsidRPr="00000000">
              <w:rPr>
                <w:rFonts w:ascii="Times New Roman" w:cs="Times New Roman" w:eastAsia="Times New Roman" w:hAnsi="Times New Roman"/>
                <w:color w:val="000000"/>
                <w:sz w:val="20"/>
                <w:szCs w:val="20"/>
                <w:vertAlign w:val="superscript"/>
                <w:rtl w:val="0"/>
              </w:rPr>
              <w:t xml:space="preserve">th</w:t>
            </w:r>
            <w:r w:rsidDel="00000000" w:rsidR="00000000" w:rsidRPr="00000000">
              <w:rPr>
                <w:rFonts w:ascii="Times New Roman" w:cs="Times New Roman" w:eastAsia="Times New Roman" w:hAnsi="Times New Roman"/>
                <w:color w:val="000000"/>
                <w:sz w:val="20"/>
                <w:szCs w:val="20"/>
                <w:rtl w:val="0"/>
              </w:rPr>
              <w:t xml:space="preserve"> Edition for writing a research paper. None of the content adhered to the technical guidelines.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2">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SUBMISSION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submitted on or before the submission deadline.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delayed for two days.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section is delayed for more than three days.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SCORE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9">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/50 </w:t>
            </w:r>
            <w:r w:rsidDel="00000000" w:rsidR="00000000" w:rsidRPr="00000000">
              <w:rPr>
                <w:rtl w:val="0"/>
              </w:rPr>
            </w:r>
          </w:p>
        </w:tc>
      </w:tr>
    </w:tbl>
    <w:p w:rsidR="00000000" w:rsidDel="00000000" w:rsidP="00000000" w:rsidRDefault="00000000" w:rsidRPr="00000000" w14:paraId="000000F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B">
      <w:pPr>
        <w:spacing w:after="0" w:line="240" w:lineRule="auto"/>
        <w:jc w:val="both"/>
        <w:rPr>
          <w:rFonts w:ascii="Quattrocento Sans" w:cs="Quattrocento Sans" w:eastAsia="Quattrocento Sans" w:hAnsi="Quattrocento Sans"/>
          <w:sz w:val="18"/>
          <w:szCs w:val="18"/>
        </w:rPr>
      </w:pPr>
      <w:r w:rsidDel="00000000" w:rsidR="00000000" w:rsidRPr="00000000">
        <w:rPr>
          <w:rtl w:val="0"/>
        </w:rPr>
      </w:r>
    </w:p>
    <w:tbl>
      <w:tblPr>
        <w:tblStyle w:val="Table3"/>
        <w:tblW w:w="10770.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685"/>
        <w:gridCol w:w="5385"/>
        <w:gridCol w:w="2700"/>
        <w:tblGridChange w:id="0">
          <w:tblGrid>
            <w:gridCol w:w="2685"/>
            <w:gridCol w:w="5385"/>
            <w:gridCol w:w="2700"/>
          </w:tblGrid>
        </w:tblGridChange>
      </w:tblGrid>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Participation Report</w:t>
            </w: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c00000" w:val="clear"/>
            <w:vAlign w:val="center"/>
          </w:tcPr>
          <w:p w:rsidR="00000000" w:rsidDel="00000000" w:rsidP="00000000" w:rsidRDefault="00000000" w:rsidRPr="00000000" w14:paraId="000000F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NAMES</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c00000" w:val="clear"/>
            <w:vAlign w:val="center"/>
          </w:tcPr>
          <w:p w:rsidR="00000000" w:rsidDel="00000000" w:rsidP="00000000" w:rsidRDefault="00000000" w:rsidRPr="00000000" w14:paraId="000001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ACCOMPLISHED TASKS</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c00000" w:val="clear"/>
            <w:vAlign w:val="center"/>
          </w:tcPr>
          <w:p w:rsidR="00000000" w:rsidDel="00000000" w:rsidP="00000000" w:rsidRDefault="00000000" w:rsidRPr="00000000" w14:paraId="0000010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LEADER’S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REMARKS</w:t>
            </w: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1B">
      <w:pPr>
        <w:spacing w:after="0" w:line="240" w:lineRule="auto"/>
        <w:jc w:val="both"/>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C">
      <w:pPr>
        <w:spacing w:after="0" w:line="240" w:lineRule="auto"/>
        <w:jc w:val="both"/>
        <w:rPr>
          <w:rFonts w:ascii="Quattrocento Sans" w:cs="Quattrocento Sans" w:eastAsia="Quattrocento Sans" w:hAnsi="Quattrocento Sans"/>
          <w:sz w:val="18"/>
          <w:szCs w:val="18"/>
        </w:rPr>
      </w:pPr>
      <w:r w:rsidDel="00000000" w:rsidR="00000000" w:rsidRPr="00000000">
        <w:rPr>
          <w:rFonts w:ascii="Times New Roman" w:cs="Times New Roman" w:eastAsia="Times New Roman" w:hAnsi="Times New Roman"/>
          <w:rtl w:val="0"/>
        </w:rPr>
        <w:t xml:space="preserve">Comments:  </w:t>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u w:val="single"/>
        </w:rPr>
      </w:pPr>
      <w:r w:rsidDel="00000000" w:rsidR="00000000" w:rsidRPr="00000000">
        <w:rPr>
          <w:rtl w:val="0"/>
        </w:rPr>
      </w:r>
    </w:p>
    <w:sectPr>
      <w:pgSz w:h="2016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se Flores" w:id="0" w:date="2026-10-04T03:24:31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it on our preliminary reflexivity answers during Ma'am Zeia's Interview. As well as the prompt questions in the format sir gave.</w:t>
      </w:r>
    </w:p>
  </w:comment>
  <w:comment w:id="1" w:author="Research review" w:initials="RR" w:date="2026-10-04T20:59:54Z">
    <w:p w14:paraId="00000201">
      <w:pPr>
        <w:pStyle w:val="CommentText"/>
      </w:pPr>
      <w:r>
        <w:rPr>
          <w:rStyle w:val="CommentReference"/>
        </w:rPr>
        <w:annotationRef/>
      </w:r>
      <w:r>
        <w:t>The workbook reflexivity sheet is an unfilled template. Replaced the claim of completed pre-interview journaling with explicit expectations and a documentation limit. Actual journal entries may be incorporated if located.</w:t>
      </w:r>
    </w:p>
  </w:comment>
  <w:comment w:id="2" w:author="Research review" w:initials="RR" w:date="2026-10-04T20:59:54Z">
    <w:p w14:paraId="00000202">
      <w:pPr>
        <w:pStyle w:val="CommentText"/>
      </w:pPr>
      <w:r>
        <w:rPr>
          <w:rStyle w:val="CommentReference"/>
        </w:rPr>
        <w:annotationRef/>
      </w:r>
      <w:r>
        <w:t>Separated six achieved participants from the target and corrected theme coverage language. Coverage includes divergent/negative-case material and must not be presented as agreement or prevalence.</w:t>
      </w:r>
    </w:p>
  </w:comment>
  <w:comment w:id="3" w:author="Research review" w:initials="RR" w:date="2026-10-04T20:59:54Z">
    <w:p w14:paraId="00000203">
      <w:pPr>
        <w:pStyle w:val="CommentText"/>
      </w:pPr>
      <w:r>
        <w:rPr>
          <w:rStyle w:val="CommentReference"/>
        </w:rPr>
        <w:annotationRef/>
      </w:r>
      <w:r>
        <w:t>Corrected “kapwa appeared only once” to one participant with multiple mentions. Retained the screen-exposure claim as an individual position without endorsing it as medical evidence.</w:t>
      </w:r>
    </w:p>
  </w:comment>
  <w:comment w:id="4" w:author="Research review" w:initials="RR" w:date="2026-10-04T20:59:54Z">
    <w:p w14:paraId="00000204">
      <w:pPr>
        <w:pStyle w:val="CommentText"/>
      </w:pPr>
      <w:r>
        <w:rPr>
          <w:rStyle w:val="CommentReference"/>
        </w:rPr>
        <w:annotationRef/>
      </w:r>
      <w:r>
        <w:t>PPCT mapping revised: directly experienced game features are not automatically exosystem settings. Interpretive correspondence with PPCT does not test developmental mechanisms.</w:t>
      </w:r>
    </w:p>
  </w:comment>
  <w:comment w:id="5" w:author="Research review" w:initials="RR" w:date="2026-10-04T20:59:54Z">
    <w:p w14:paraId="00000205">
      <w:pPr>
        <w:pStyle w:val="CommentText"/>
      </w:pPr>
      <w:r>
        <w:rPr>
          <w:rStyle w:val="CommentReference"/>
        </w:rPr>
        <w:annotationRef/>
      </w:r>
      <w:r>
        <w:t>Recommendations now distinguish possible professional applications from tested interventions. The phone-settings extract contains explicit uncertainty, and RA 12080 does not prescribe a gaming-specific module.</w:t>
      </w:r>
    </w:p>
  </w:comment>
  <w:comment w:id="6" w:author="Research review" w:initials="RR" w:date="2026-10-04T20:59:54Z">
    <w:p w14:paraId="00000206">
      <w:pPr>
        <w:pStyle w:val="CommentText"/>
      </w:pPr>
      <w:r>
        <w:rPr>
          <w:rStyle w:val="CommentReference"/>
        </w:rPr>
        <w:annotationRef/>
      </w:r>
      <w:r>
        <w:t>Changed the old “complete ten interviews” implication to five interviews plus ideally five written questionnaires. Additional data require consent, eligibility checks, coding, and revised counts before inclusion.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F" w15:done="0"/>
  <w15:commentEx w15:paraId="00000201" w15:done="1"/>
  <w15:commentEx w15:paraId="00000202" w15:done="1"/>
  <w15:commentEx w15:paraId="00000203" w15:done="1"/>
  <w15:commentEx w15:paraId="00000204" w15:done="1"/>
  <w15:commentEx w15:paraId="00000205" w15:done="1"/>
  <w15:commentEx w15:paraId="00000206" w15:done="1"/>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47E9D"/>
    <w:pPr>
      <w:tabs>
        <w:tab w:val="center" w:pos="4680"/>
        <w:tab w:val="right" w:pos="9360"/>
      </w:tabs>
      <w:spacing w:after="0" w:line="240" w:lineRule="auto"/>
    </w:pPr>
    <w:rPr>
      <w:sz w:val="24"/>
      <w:szCs w:val="24"/>
      <w:lang w:val="en-PH"/>
    </w:rPr>
  </w:style>
  <w:style w:type="character" w:styleId="HeaderChar" w:customStyle="1">
    <w:name w:val="Header Char"/>
    <w:basedOn w:val="DefaultParagraphFont"/>
    <w:link w:val="Header"/>
    <w:uiPriority w:val="99"/>
    <w:rsid w:val="00347E9D"/>
    <w:rPr>
      <w:sz w:val="24"/>
      <w:szCs w:val="24"/>
      <w:lang w:val="en-PH"/>
    </w:rPr>
  </w:style>
  <w:style w:type="table" w:styleId="TableGrid">
    <w:name w:val="Table Grid"/>
    <w:basedOn w:val="TableNormal"/>
    <w:uiPriority w:val="39"/>
    <w:rsid w:val="00347E9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343850"/>
    <w:pPr>
      <w:spacing w:line="278" w:lineRule="auto"/>
      <w:ind w:left="720"/>
      <w:contextualSpacing w:val="1"/>
    </w:pPr>
    <w:rPr>
      <w:sz w:val="24"/>
      <w:szCs w:val="24"/>
      <w:lang w:val="en-P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byuxXeRWMX8PJ/7ypuSH3gDyNQ==">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2026-08-23T09:43:00.0000000Z</dcterms:created>
  <dc:creator>Arvin Gueco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0x0101003E2F2C504D676D44A437AD5BAD9E3947</vt:lpwstr>
  </property>
</Properties>
</file>