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 w:line="240" w:lineRule="auto"/>
      </w:pPr>
      <w:r>
        <w:rPr>
          <w:rFonts w:ascii="Calibri" w:hAnsi="Calibri"/>
          <w:b/>
          <w:color w:val="0B2545"/>
          <w:sz w:val="46"/>
        </w:rPr>
        <w:t>INFORME DE INCONSISTENCIAS</w:t>
      </w:r>
    </w:p>
    <w:p>
      <w:pPr>
        <w:spacing w:before="0" w:after="320" w:line="240" w:lineRule="auto"/>
      </w:pPr>
      <w:r>
        <w:rPr>
          <w:rFonts w:ascii="Calibri" w:hAnsi="Calibri"/>
          <w:color w:val="555555"/>
          <w:sz w:val="28"/>
        </w:rPr>
        <w:t>Convocatorias, docentes, aulas y capacidades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Entidad: </w:t>
      </w:r>
      <w:r>
        <w:rPr>
          <w:rFonts w:ascii="Calibri" w:hAnsi="Calibri"/>
          <w:color w:val="0B2545"/>
          <w:sz w:val="21"/>
        </w:rPr>
        <w:t>CEP Formación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Fuente: </w:t>
      </w:r>
      <w:r>
        <w:rPr>
          <w:rFonts w:ascii="Calibri" w:hAnsi="Calibri"/>
          <w:color w:val="0B2545"/>
          <w:sz w:val="21"/>
        </w:rPr>
        <w:t>Base de datos operativa de cepformacion.akademate.com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Ámbito: </w:t>
      </w:r>
      <w:r>
        <w:rPr>
          <w:rFonts w:ascii="Calibri" w:hAnsi="Calibri"/>
          <w:color w:val="0B2545"/>
          <w:sz w:val="21"/>
        </w:rPr>
        <w:t>Tenant 1 | 32 convocatorias | 28 convocatorias futuras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Fecha de revisión: </w:t>
      </w:r>
      <w:r>
        <w:rPr>
          <w:rFonts w:ascii="Calibri" w:hAnsi="Calibri"/>
          <w:color w:val="0B2545"/>
          <w:sz w:val="21"/>
        </w:rPr>
        <w:t>10 de julio de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Estado: </w:t>
      </w:r>
      <w:r>
        <w:rPr>
          <w:rFonts w:ascii="Calibri" w:hAnsi="Calibri"/>
          <w:color w:val="0B2545"/>
          <w:sz w:val="21"/>
        </w:rPr>
        <w:t>Pendiente de validación por la academia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7A5A00"/>
                <w:sz w:val="21"/>
              </w:rPr>
              <w:t xml:space="preserve">Decisión solicitada: </w:t>
            </w:r>
            <w:r>
              <w:rPr>
                <w:rFonts w:ascii="Calibri" w:hAnsi="Calibri"/>
                <w:color w:val="0B2545"/>
                <w:sz w:val="21"/>
              </w:rPr>
              <w:t>Confirmar qué docente, aula, capacidad o dato debe prevalecer en cada caso. No se ha modificado ninguna asignación.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 w:val="0"/>
          <w:i w:val="0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Resumen ejecutivo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1"/>
        </w:rPr>
        <w:t>La revisión detecta cinco solapamientos directos: dos de docentes y tres de aulas. Además, hay dos convocatorias cuya capacidad supera la capacidad física del aula y cuatro registros con información incompleta. La tabla de conflictos persistidos no contiene registros, por lo que estas incidencias deben validarse y corregirse antes de volver a publicar o confirmar la planificación.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Conflictos de docentes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1"/>
        </w:rPr>
        <w:t>Los siguientes pares comparten a Lucía Corominas Pérez en la misma franja y con fechas coincidentes: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500"/>
        <w:gridCol w:w="1900"/>
        <w:gridCol w:w="27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Código A / curso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Código B / curso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Sede y horario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Acción solicitada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SC-2026-003</w:t>
              <w:br/>
              <w:t>Auxiliar de Clínicas Estéticas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NOR-2026-003</w:t>
              <w:br/>
              <w:t>Auxiliar de Farmacia y Parafarmacia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Lunes</w:t>
              <w:br/>
              <w:t>10:00–14:00</w:t>
              <w:br/>
              <w:t>Santa Cruz / Norte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Confirmar docente alternativo o cambio de horario.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SC-2026-008</w:t>
              <w:br/>
              <w:t>Auxiliar de Clínicas Estéticas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NOR-2026-002</w:t>
              <w:br/>
              <w:t>Nutricosmética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Jueves</w:t>
              <w:br/>
              <w:t>10:00–14:00</w:t>
              <w:br/>
              <w:t>Santa Cruz / Norte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Confirmar docente alternativo o cambio de horario.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sz w:val="4"/>
        </w:rPr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Conflictos de aulas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100"/>
        <w:gridCol w:w="1300"/>
        <w:gridCol w:w="1900"/>
        <w:gridCol w:w="2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Convocatoria 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Convocatoria B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Aula / sede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Solapamiento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BEC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Acción solicitada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SC-2026-016</w:t>
              <w:br/>
              <w:t>Peluquería Canina y Felina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SC-2026-018</w:t>
              <w:br/>
              <w:t>Auxiliar Clínico Veterinario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Aula 2</w:t>
              <w:br/>
              <w:t>Santa Cruz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Lunes</w:t>
              <w:br/>
              <w:t>16:00–19:00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aula o cambio de horario.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NOR-2026-002</w:t>
              <w:br/>
              <w:t>Nutricosmética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NOR-2026-006</w:t>
              <w:br/>
              <w:t>Auxiliar de Odontología e Higiene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Aula 5</w:t>
              <w:br/>
              <w:t>Norte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Jueves</w:t>
              <w:br/>
              <w:t>10:00–14:00</w:t>
              <w:br/>
              <w:t>Coincide el 26/11/2026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si se mantiene la fecha o se mueve una convocatoria.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NOR-2026-008</w:t>
              <w:br/>
              <w:t>Peluquería Canina y Felina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NOR-2026-010</w:t>
              <w:br/>
              <w:t>Adiestramiento Canino 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Aula 5</w:t>
              <w:br/>
              <w:t>Norte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Miércoles</w:t>
              <w:br/>
              <w:t>16:00–19:00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aula o cambio de horario.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Capacidad de aulas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350"/>
        <w:gridCol w:w="1850"/>
        <w:gridCol w:w="800"/>
        <w:gridCol w:w="1100"/>
        <w:gridCol w:w="2060"/>
      </w:tblGrid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Código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Curso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Sede / aula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Plazas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Capacidad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D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Acción solicitada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SC-2026-010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Auxiliar de Enfermería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Santa Cruz / Aula 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18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Reducir plazas a 18 o confirmar aula alternativa.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SC-2026-016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Peluquería Canina y Felina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Santa Cruz / Aula 2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18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Reducir plazas a 18 o confirmar aula alternativa.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Datos incompletos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450"/>
        <w:gridCol w:w="1850"/>
        <w:gridCol w:w="1900"/>
        <w:gridCol w:w="1910"/>
      </w:tblGrid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Código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Curso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Sede / aula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Dato pendiente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6"/>
              </w:rPr>
              <w:t>Acción solicitada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ONL-2026-001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Curso de Tatuador: Tatuaje Profesional Online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Sin sede / sin aula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Sin días, horario ni docente; 999 plazas configuradas.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si el formato online justifica estos campos y revisar el límite de plazas.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SC-2026-004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Farmacia y Dermocosmética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Santa Cruz / Sillones / Área común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Sin docente asignado.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Asignar docente antes de publicar o confirmar.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SC-2026-001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Farmacia y Parafarmacia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Santa Cruz / Aula MAC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Sin docente asignado.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si el ciclo requiere docente en programación.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SC-2026-002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Higiene Bucodental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Santa Cruz / Aula MAC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Sin docente asignado.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6"/>
              </w:rPr>
              <w:t>Confirmar si el ciclo requiere docente en programación.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sz w:val="4"/>
        </w:rPr>
      </w: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Respuesta solicitada a la academia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1"/>
        </w:rPr>
        <w:t>Para cerrar la planificación, necesitamos recibir una decisión para cada incidencia: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4400"/>
        <w:gridCol w:w="4360"/>
      </w:tblGrid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Nº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Confirmación requerida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Respuesta de la academia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1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Docente definitivo para cada conflicto de Lucía Corominas Pérez.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2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Aula definitiva en los tres solapamientos detectados.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3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Capacidad definitiva de SC-2026-010 y SC-2026-016.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4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Docente de SC-2026-004, SC-2026-001 y SC-2026-002.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5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  <w:t>Tratamiento de ONL-2026-001 y sus campos vacíos.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0B2545"/>
                <w:sz w:val="17"/>
              </w:rPr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 w:val="0"/>
          <w:sz w:val="4"/>
        </w:rPr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Nota técnica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1"/>
        </w:rPr>
        <w:t>La pantalla de Programación estuvo mostrando cero convocatorias por un fallo de autenticación y normalización de relaciones nulas, no por ausencia de datos. La plataforma fue recuperada y las pruebas de disponibilidad, healthcheck y lectura autenticada quedaron verificadas. Este documento recoge exclusivamente inconsistencias de planificación que requieren decisión de la academia.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555555"/>
          <w:sz w:val="19"/>
        </w:rPr>
        <w:t>Documento generado a partir de una lectura de producción. No se han creado, eliminado ni modificado convocatorias, docentes, sedes o aulas.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color w:val="555555"/>
        <w:sz w:val="18"/>
      </w:rPr>
      <w:t xml:space="preserve">Informe interno | 10 de julio de 2026 | Página </w:t>
    </w:r>
    <w:r>
      <w:rPr>
        <w:rFonts w:ascii="Calibri" w:hAnsi="Calibri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555555"/>
        <w:sz w:val="18"/>
      </w:rPr>
      <w:t>CEP Formación | Revisión de planificación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