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F4E78"/>
          <w:sz w:val="36"/>
        </w:rPr>
        <w:t>Personal y accesos · CEP Norte</w:t>
      </w:r>
    </w:p>
    <w:p>
      <w:pPr>
        <w:spacing w:before="0" w:after="180"/>
      </w:pPr>
      <w:r>
        <w:rPr>
          <w:rFonts w:ascii="Arial" w:hAnsi="Arial"/>
          <w:b w:val="0"/>
          <w:color w:val="5B6573"/>
          <w:sz w:val="18"/>
        </w:rPr>
        <w:t>Indique solo las personas que necesitarán acceso al sistema. Use el perfil recomendado o anote una excepción.</w:t>
      </w:r>
    </w:p>
    <w:tbl>
      <w:tblPr>
        <w:tblStyle w:val="TableGrid"/>
        <w:tblW w:type="dxa" w:w="1382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750"/>
        <w:gridCol w:w="2500"/>
        <w:gridCol w:w="1570"/>
        <w:gridCol w:w="1450"/>
        <w:gridCol w:w="2350"/>
        <w:gridCol w:w="900"/>
        <w:gridCol w:w="1150"/>
        <w:gridCol w:w="2154"/>
      </w:tblGrid>
      <w:tr>
        <w:trPr>
          <w:tblHeader/>
        </w:trPr>
        <w:tc>
          <w:tcPr>
            <w:tcW w:type="dxa" w:w="17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Departamento</w:t>
            </w:r>
          </w:p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Nombre y apellidos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Cargo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Tipo de contrato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Correo de acceso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Perfil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Otros centros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Observaciones</w:t>
            </w:r>
          </w:p>
        </w:tc>
      </w:tr>
      <w:tr>
        <w:tc>
          <w:tcPr>
            <w:tcW w:type="dxa" w:w="1750"/>
            <w:vMerge w:val="restart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6"/>
              </w:rPr>
              <w:t>Dirección</w:t>
            </w:r>
          </w:p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DIR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/>
          </w:tcPr>
          <w:p/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DIR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 w:val="restart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6"/>
              </w:rPr>
              <w:t>Finanzas / Contabilidad</w:t>
            </w:r>
          </w:p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FIN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/>
          </w:tcPr>
          <w:p/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FIN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 w:val="restart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6"/>
              </w:rPr>
              <w:t>Administración / Secretaría</w:t>
            </w:r>
          </w:p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ADM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/>
          </w:tcPr>
          <w:p/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ADM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 w:val="restart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6"/>
              </w:rPr>
              <w:t>Formación / Coordinación</w:t>
            </w:r>
          </w:p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FOR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/>
          </w:tcPr>
          <w:p/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FOR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 w:val="restart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6"/>
              </w:rPr>
              <w:t>Comercial / Admisiones</w:t>
            </w:r>
          </w:p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COM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/>
          </w:tcPr>
          <w:p/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COM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 w:val="restart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6"/>
              </w:rPr>
              <w:t>Comunicación / Publicidad</w:t>
            </w:r>
          </w:p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PUB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/>
          </w:tcPr>
          <w:p/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PUB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 w:val="restart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6"/>
              </w:rPr>
              <w:t>Sistemas / Soporte</w:t>
            </w:r>
          </w:p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TEC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/>
          </w:tcPr>
          <w:p/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TEC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color w:val="1F4E78"/>
          <w:sz w:val="18"/>
        </w:rPr>
        <w:t>Perfiles de acceso recomendados</w:t>
      </w:r>
    </w:p>
    <w:tbl>
      <w:tblPr>
        <w:tblStyle w:val="TableGrid"/>
        <w:tblW w:type="dxa" w:w="1382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800"/>
        <w:gridCol w:w="6112"/>
        <w:gridCol w:w="800"/>
        <w:gridCol w:w="6112"/>
      </w:tblGrid>
      <w:tr>
        <w:tc>
          <w:tcPr>
            <w:tcW w:type="dxa" w:w="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F4E78"/>
                <w:sz w:val="15"/>
              </w:rPr>
              <w:t>DIR</w:t>
            </w:r>
          </w:p>
        </w:tc>
        <w:tc>
          <w:tcPr>
            <w:tcW w:type="dxa" w:w="6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5"/>
              </w:rPr>
              <w:t>Gestión general del centro y finanzas.</w:t>
            </w:r>
          </w:p>
        </w:tc>
        <w:tc>
          <w:tcPr>
            <w:tcW w:type="dxa" w:w="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F4E78"/>
                <w:sz w:val="15"/>
              </w:rPr>
              <w:t>COM</w:t>
            </w:r>
          </w:p>
        </w:tc>
        <w:tc>
          <w:tcPr>
            <w:tcW w:type="dxa" w:w="6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5"/>
              </w:rPr>
              <w:t>Leads, admisiones y seguimiento comercial; sin finanzas.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F4E78"/>
                <w:sz w:val="15"/>
              </w:rPr>
              <w:t>FIN</w:t>
            </w:r>
          </w:p>
        </w:tc>
        <w:tc>
          <w:tcPr>
            <w:tcW w:type="dxa" w:w="6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5"/>
              </w:rPr>
              <w:t>Solo finanzas, facturación y contabilidad; sin cursos ni publicidad.</w:t>
            </w:r>
          </w:p>
        </w:tc>
        <w:tc>
          <w:tcPr>
            <w:tcW w:type="dxa" w:w="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F4E78"/>
                <w:sz w:val="15"/>
              </w:rPr>
              <w:t>PUB</w:t>
            </w:r>
          </w:p>
        </w:tc>
        <w:tc>
          <w:tcPr>
            <w:tcW w:type="dxa" w:w="6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5"/>
              </w:rPr>
              <w:t>Web, contenidos y publicidad; sin crear o modificar convocatorias ni finanzas.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F4E78"/>
                <w:sz w:val="15"/>
              </w:rPr>
              <w:t>ADM</w:t>
            </w:r>
          </w:p>
        </w:tc>
        <w:tc>
          <w:tcPr>
            <w:tcW w:type="dxa" w:w="6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5"/>
              </w:rPr>
              <w:t>Matrículas, alumnado y convocatorias; sin finanzas.</w:t>
            </w:r>
          </w:p>
        </w:tc>
        <w:tc>
          <w:tcPr>
            <w:tcW w:type="dxa" w:w="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F4E78"/>
                <w:sz w:val="15"/>
              </w:rPr>
              <w:t>TEC</w:t>
            </w:r>
          </w:p>
        </w:tc>
        <w:tc>
          <w:tcPr>
            <w:tcW w:type="dxa" w:w="6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5"/>
              </w:rPr>
              <w:t>Soporte técnico; acceso funcional solo cuando sea necesario.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F4E78"/>
                <w:sz w:val="15"/>
              </w:rPr>
              <w:t>FOR</w:t>
            </w:r>
          </w:p>
        </w:tc>
        <w:tc>
          <w:tcPr>
            <w:tcW w:type="dxa" w:w="6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5"/>
              </w:rPr>
              <w:t>Cursos, docentes, aulas y convocatorias; sin finanzas ni publicidad.</w:t>
            </w:r>
          </w:p>
        </w:tc>
        <w:tc>
          <w:tcPr>
            <w:tcW w:type="dxa" w:w="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5"/>
              </w:rPr>
              <w:t xml:space="preserve"> </w:t>
            </w:r>
          </w:p>
        </w:tc>
        <w:tc>
          <w:tcPr>
            <w:tcW w:type="dxa" w:w="6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5"/>
              </w:rPr>
              <w:t xml:space="preserve"> </w:t>
            </w:r>
          </w:p>
        </w:tc>
      </w:tr>
    </w:tbl>
    <w:p>
      <w:pPr>
        <w:spacing w:before="100" w:after="0"/>
      </w:pPr>
      <w:r>
        <w:rPr>
          <w:rFonts w:ascii="Arial" w:hAnsi="Arial"/>
          <w:b w:val="0"/>
          <w:color w:val="5B6573"/>
          <w:sz w:val="15"/>
        </w:rPr>
        <w:t>Otros centros: indique “No” o escriba el centro adicional. Los permisos definitivos se asignarán individualmente después de la revisión.</w:t>
      </w:r>
    </w:p>
    <w:sectPr w:rsidR="00FC693F" w:rsidRPr="0006063C" w:rsidSect="00034616">
      <w:footerReference w:type="default" r:id="rId9"/>
      <w:pgSz w:w="15840" w:h="12240" w:orient="landscape"/>
      <w:pgMar w:top="893" w:right="893" w:bottom="893" w:left="89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b w:val="0"/>
        <w:color w:val="6B7280"/>
        <w:sz w:val="15"/>
      </w:rPr>
      <w:t>CEP Norte · Plantilla para cumplimentar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Arial" w:hAnsi="Arial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