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Ficha de empresa · CEP Santa Cruz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Complete únicamente los datos actuales de la entidad responsable del centro.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20"/>
        <w:gridCol w:w="2960"/>
        <w:gridCol w:w="1720"/>
        <w:gridCol w:w="2960"/>
      </w:tblGrid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Razón social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Nombre comercial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NIF / CIF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Forma jurídica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Situación legal actual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Fecha de constitución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Domicilio fiscal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Dirección física del centro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principal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alternativo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general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administración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facturación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Web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Persona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Cargo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Programa de contabilidad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Empresa / asesoría contable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Observaciones</w:t>
            </w:r>
          </w:p>
        </w:tc>
        <w:tc>
          <w:tcPr>
            <w:tcW w:type="dxa" w:w="7640"/>
            <w:vAlign w:val="center"/>
            <w:gridSpan w:val="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br/>
              <w:br/>
            </w:r>
          </w:p>
        </w:tc>
      </w:tr>
    </w:tbl>
    <w:p>
      <w:pPr>
        <w:spacing w:before="160" w:after="0"/>
      </w:pPr>
      <w:r>
        <w:rPr>
          <w:rFonts w:ascii="Arial" w:hAnsi="Arial"/>
          <w:b w:val="0"/>
          <w:color w:val="5B6573"/>
          <w:sz w:val="16"/>
        </w:rPr>
        <w:t>Adjunte o indique información adicional solo si es necesaria para identificar correctamente la empresa.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Santa Cruz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