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36"/>
        </w:rPr>
        <w:t>Personal y accesos · CEP Sur</w:t>
      </w:r>
    </w:p>
    <w:p>
      <w:pPr>
        <w:spacing w:before="0" w:after="180"/>
      </w:pPr>
      <w:r>
        <w:rPr>
          <w:rFonts w:ascii="Arial" w:hAnsi="Arial"/>
          <w:b w:val="0"/>
          <w:color w:val="5B6573"/>
          <w:sz w:val="18"/>
        </w:rPr>
        <w:t>Indique solo las personas que necesitarán acceso al sistema. Use el perfil recomendado o anote una excepción.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50"/>
        <w:gridCol w:w="2500"/>
        <w:gridCol w:w="1570"/>
        <w:gridCol w:w="1450"/>
        <w:gridCol w:w="2350"/>
        <w:gridCol w:w="900"/>
        <w:gridCol w:w="1150"/>
        <w:gridCol w:w="2154"/>
      </w:tblGrid>
      <w:tr>
        <w:trPr>
          <w:tblHeader/>
        </w:trPr>
        <w:tc>
          <w:tcPr>
            <w:tcW w:type="dxa" w:w="17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Departamento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Nombre y apellidos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Cargo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Tipo de contrato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Correo de acceso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Perfil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Otros centros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Dirección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DIR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DIR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Finanzas / Contabilidad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FIN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FIN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Administración / Secretaría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ADM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ADM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Formación / Coordinación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FOR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FOR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Comercial / Admisiones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COM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COM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Comunicación / Publicidad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PUB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PUB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 w:val="restart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6"/>
              </w:rPr>
              <w:t>Sistemas / Soporte</w:t>
            </w:r>
          </w:p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TEC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  <w:tr>
        <w:tc>
          <w:tcPr>
            <w:tcW w:type="dxa" w:w="1750"/>
            <w:vMerge/>
          </w:tcPr>
          <w:p/>
        </w:tc>
        <w:tc>
          <w:tcPr>
            <w:tcW w:type="dxa" w:w="25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5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14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3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>TEC</w:t>
            </w:r>
          </w:p>
        </w:tc>
        <w:tc>
          <w:tcPr>
            <w:tcW w:type="dxa" w:w="11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AFAF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6"/>
              </w:rPr>
              <w:t xml:space="preserve"> 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8"/>
          <w:sz w:val="18"/>
        </w:rPr>
        <w:t>Perfiles de acceso recomendados</w:t>
      </w:r>
    </w:p>
    <w:tbl>
      <w:tblPr>
        <w:tblStyle w:val="TableGrid"/>
        <w:tblW w:type="dxa" w:w="13824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00"/>
        <w:gridCol w:w="6112"/>
        <w:gridCol w:w="800"/>
        <w:gridCol w:w="6112"/>
      </w:tblGrid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DIR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Gestión general del centro y finanzas.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COM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Leads, admisiones y seguimiento comercial; sin finanzas.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FIN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Solo finanzas, facturación y contabilidad; sin cursos ni publicidad.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PUB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Web, contenidos y publicidad; sin crear o modificar convocatorias ni finanzas.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ADM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Matrículas, alumnado y convocatorias; sin finanzas.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TEC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Soporte técnico; acceso funcional solo cuando sea necesario.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1F4E78"/>
                <w:sz w:val="15"/>
              </w:rPr>
              <w:t>FOR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>Cursos, docentes, aulas y convocatorias; sin finanzas ni publicidad.</w:t>
            </w:r>
          </w:p>
        </w:tc>
        <w:tc>
          <w:tcPr>
            <w:tcW w:type="dxa" w:w="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 xml:space="preserve"> </w:t>
            </w:r>
          </w:p>
        </w:tc>
        <w:tc>
          <w:tcPr>
            <w:tcW w:type="dxa" w:w="6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5"/>
              </w:rPr>
              <w:t xml:space="preserve"> </w:t>
            </w:r>
          </w:p>
        </w:tc>
      </w:tr>
    </w:tbl>
    <w:p>
      <w:pPr>
        <w:spacing w:before="100" w:after="0"/>
      </w:pPr>
      <w:r>
        <w:rPr>
          <w:rFonts w:ascii="Arial" w:hAnsi="Arial"/>
          <w:b w:val="0"/>
          <w:color w:val="5B6573"/>
          <w:sz w:val="15"/>
        </w:rPr>
        <w:t>Otros centros: indique “No” o escriba el centro adicional. Los permisos definitivos se asignarán individualmente después de la revisión.</w:t>
      </w:r>
    </w:p>
    <w:sectPr w:rsidR="00FC693F" w:rsidRPr="0006063C" w:rsidSect="00034616">
      <w:footerReference w:type="default" r:id="rId9"/>
      <w:pgSz w:w="15840" w:h="12240" w:orient="landscape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B7280"/>
        <w:sz w:val="15"/>
      </w:rPr>
      <w:t>CEP Sur · Plantilla para cumplimentar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