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00"/>
        <w:jc w:val="center"/>
      </w:pPr>
      <w:r>
        <w:drawing>
          <wp:inline distT="0" distB="0" distL="0" distR="0">
            <wp:extent cx="1619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SCORE EXPONENCIAL</w:t>
      </w:r>
    </w:p>
    <w:p>
      <w:pPr>
        <w:spacing w:after="600"/>
        <w:jc w:val="center"/>
      </w:pPr>
      <w:r>
        <w:rPr>
          <w:color w:val="C9A227"/>
          <w:sz w:val="26"/>
          <w:szCs w:val="26"/>
        </w:rPr>
        <w:t xml:space="preserve">Metodologia e registro prévio do teste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Versão 1.0.3 — aprovada em 22 de outubro de 2026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Radar de Ações Exponenciais · SOLIDUNS</w:t>
      </w:r>
    </w:p>
    <w:p>
      <w:pPr>
        <w:jc w:val="center"/>
      </w:pPr>
      <w:r>
        <w:rPr>
          <w:color w:val="555555"/>
          <w:sz w:val="22"/>
          <w:szCs w:val="22"/>
        </w:rPr>
        <w:t xml:space="preserve">Brasília, 22 de outubro de 2026</w:t>
      </w:r>
    </w:p>
    <w:p>
      <w:pPr>
        <w:sectPr>
          <w:pgSz w:w="11906" w:h="16838" w:orient="portrait"/>
          <w:pgMar w:top="1300" w:right="1450" w:bottom="1300" w:left="1450" w:header="708" w:footer="708" w:gutter="0"/>
          <w:pgNumType/>
          <w:docGrid w:linePitch="360"/>
        </w:sectPr>
      </w:pPr>
    </w:p>
    <w:p>
      <w:pPr>
        <w:pStyle w:val="Heading1"/>
        <w:keepNext/>
        <w:keepLines/>
        <w:pageBreakBefore/>
      </w:pPr>
      <w:r>
        <w:t xml:space="preserve">1. Decisões aprovadas</w:t>
      </w:r>
    </w:p>
    <w:p>
      <w:pPr>
        <w:spacing w:after="120" w:line="300"/>
        <w:jc w:val="both"/>
      </w:pPr>
      <w:r>
        <w:t xml:space="preserve">Esta versão fecha a metodologia. As decisões abaixo foram aprovadas pelo Dr. Thiago Viegas em 22/10/2026: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Pesos iguais:</w:t>
      </w:r>
      <w:r>
        <w:t xml:space="preserve"> os quatro pilares começam com 25% cada.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Pilar 3 redesenhado:</w:t>
      </w:r>
      <w:r>
        <w:t xml:space="preserve"> sai "crescimento e aceleração da receita", entra </w:t>
      </w:r>
      <w:r>
        <w:rPr>
          <w:b/>
          <w:bCs/>
        </w:rPr>
        <w:t xml:space="preserve">momento fundamental</w:t>
      </w:r>
      <w:r>
        <w:t xml:space="preserve"> (surpresa de lucro e escore de crescimento saudável).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Proteção do momentum:</w:t>
      </w:r>
      <w:r>
        <w:t xml:space="preserve"> o peso do pilar Momentum cai quando a volatilidade do próprio fator sobe.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Molodovsky no cálculo:</w:t>
      </w:r>
      <w:r>
        <w:t xml:space="preserve"> o artigo de Molodovsky, May e Chottiner (1965) vira o subitem </w:t>
      </w:r>
      <w:r>
        <w:rPr>
          <w:b/>
          <w:bCs/>
        </w:rPr>
        <w:t xml:space="preserve">crescimento implícito no preço</w:t>
      </w:r>
      <w:r>
        <w:t xml:space="preserve">, dentro do Pilar 2.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Dados do teste:</w:t>
      </w:r>
      <w:r>
        <w:t xml:space="preserve"> cotações da B3 desde 2006 e fatores de risco do NEFIN-USP, ambos públicos e gratuitos.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Critérios para publicar:</w:t>
      </w:r>
      <w:r>
        <w:t xml:space="preserve"> aprovados como propostos na versão 0.2 (capítulo 7).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Risco de crédito e de manipulação viram subitens (v1.0.1):</w:t>
      </w:r>
      <w:r>
        <w:t xml:space="preserve"> o EM Score de Altman (2005) e o escore M de Beneish (1999) entram no Pilar 4, sem desconto em pontos.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Faixa de manutenção na carteira do Radar (v1.0.2):</w:t>
      </w:r>
      <w:r>
        <w:t xml:space="preserve"> a ação entra ao chegar aos 20% melhores do Score e só sai ao cair abaixo dos 40% melhores.</w:t>
      </w:r>
    </w:p>
    <w:p>
      <w:pPr>
        <w:pStyle w:val="ListParagraph"/>
        <w:numPr>
          <w:ilvl w:val="0"/>
          <w:numId w:val="2"/>
        </w:numPr>
        <w:spacing w:after="60" w:line="280"/>
        <w:jc w:val="both"/>
      </w:pPr>
      <w:r>
        <w:rPr>
          <w:b/>
          <w:bCs/>
        </w:rPr>
        <w:t xml:space="preserve">Saltos de preço sem evento (v1.0.3):</w:t>
      </w:r>
      <w:r>
        <w:t xml:space="preserve"> salto de 3 vezes ou mais num pregão, sem evento informado, vira evento não informado se o novo patamar se mantém; se não se mantém, o pregão é descartado como erro de dado.</w:t>
      </w:r>
    </w:p>
    <w:p>
      <w:pPr>
        <w:pStyle w:val="Heading2"/>
        <w:keepNext/>
        <w:keepLines/>
      </w:pPr>
      <w:r>
        <w:t xml:space="preserve">Histórico de versões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v1.0, de 22/10/2026:</w:t>
      </w:r>
      <w:r>
        <w:t xml:space="preserve"> registro prévio da metodologia.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v1.0.1, de 22/10/2026:</w:t>
      </w:r>
      <w:r>
        <w:t xml:space="preserve"> o escore Z de Altman (1968), feito só para indústrias, é trocado pelo EM Score de Altman (2005), que vale para todas as empresas não financeiras. Os alertas deixam de tirar pontos e viram subitens do Pilar 4.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v1.0.2, de 22/10/2026:</w:t>
      </w:r>
      <w:r>
        <w:t xml:space="preserve"> a carteira do Radar passa a ter faixa de manutenção, para reduzir o giro e os custos (Novy-Marx; Velikov, 2016). A nota de cada ação não muda. A mudança foi feita antes de qualquer teste e não conta como tentativa.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v1.0.3, de 22/10/2026:</w:t>
      </w:r>
      <w:r>
        <w:t xml:space="preserve"> regra de tratamento dos saltos de preço sem evento informado (camada 1). Ela evita que grupamentos antigos, que a B3 não registra, criem falsas altas. A mudança foi feita antes de qualquer teste e não conta como tentativa.</w:t>
      </w:r>
    </w:p>
    <w:p>
      <w:pPr>
        <w:pStyle w:val="Heading2"/>
        <w:keepNext/>
        <w:keepLines/>
        <w:pageBreakBefore/>
      </w:pPr>
      <w:r>
        <w:t xml:space="preserve">O que é o registro prévio</w:t>
      </w:r>
    </w:p>
    <w:p>
      <w:pPr>
        <w:spacing w:after="120" w:line="300"/>
        <w:jc w:val="both"/>
      </w:pPr>
      <w:r>
        <w:t xml:space="preserve">Tudo neste documento fica </w:t>
      </w:r>
      <w:r>
        <w:rPr>
          <w:b/>
          <w:bCs/>
        </w:rPr>
        <w:t xml:space="preserve">congelado antes do primeiro teste</w:t>
      </w:r>
      <w:r>
        <w:t xml:space="preserve">: pilares, subitens, parâmetros, pesos e critérios.</w:t>
      </w:r>
    </w:p>
    <w:p>
      <w:pPr>
        <w:spacing w:after="120" w:line="300"/>
        <w:jc w:val="both"/>
      </w:pPr>
      <w:r>
        <w:t xml:space="preserve">Assim, o teste não pode ser ajustado ao resultado. Qualquer mudança depois do teste gera uma nova versão, e a variação conta como mais uma tentativa no controle de excesso de testes (capítulo 6).</w:t>
      </w:r>
    </w:p>
    <w:p>
      <w:pPr>
        <w:pStyle w:val="Heading2"/>
        <w:keepNext/>
        <w:keepLines/>
      </w:pPr>
      <w:r>
        <w:t xml:space="preserve">O que a literatura ensina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Os fatores existem, mas encolhem:</w:t>
      </w:r>
      <w:r>
        <w:t xml:space="preserve"> anomalias publicadas rendem, em média, 26% menos fora da amostra original e 58% menos depois da publicação (McLean; Pontiff,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Muitos fatores não se replicam:</w:t>
      </w:r>
      <w:r>
        <w:t xml:space="preserve"> boa parte perde significância com dados atualizados e custos realistas (Hou; Xue; Zhang, 2020; Novy-Marx; Velikov,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Combinar fatores ajuda:</w:t>
      </w:r>
      <w:r>
        <w:t xml:space="preserve"> valor e momentum têm correlação negativa, e a combinação é mais estável que cada um isolado (Asness; Moskowitz; Pedersen, 2013).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a evidência de momentum é fraca e a de qualidade é boa:</w:t>
      </w:r>
      <w:r>
        <w:t xml:space="preserve"> em 2009-2018, as 32 carteiras de vencedoras superaram as de perdedoras, mas a diferença foi significativa só em 12 delas, a 10% (Civiletti; Campani; Roquete, 2020); em 1990-2013, o momentum não foi significativo (Cakici; Tang; Yan, 2016). Já a qualidade é persistente e rende mais ajustada ao risco (Bortoluzzo; Pistili; Bortoluzzo, 2021).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Brasil, poucas empresas criam toda a riqueza:</w:t>
      </w:r>
      <w:r>
        <w:t xml:space="preserve"> de 1993 a 2020, 20 das 390 empresas (5%) criaram 98% da riqueza líquida; e só 34,7% das ações superaram o próprio mercado (Bessembinder et al., 2023).</w:t>
      </w:r>
    </w:p>
    <w:p>
      <w:pPr>
        <w:pStyle w:val="Heading1"/>
        <w:keepNext/>
        <w:keepLines/>
        <w:pageBreakBefore/>
      </w:pPr>
      <w:r>
        <w:t xml:space="preserve">2. Arquitetura</w:t>
      </w:r>
    </w:p>
    <w:p>
      <w:pPr>
        <w:spacing w:after="120" w:line="300"/>
        <w:jc w:val="both"/>
      </w:pPr>
      <w:r>
        <w:t xml:space="preserve">A metodologia tem sete camadas. Cada uma recebe o resultado da anterior e pode ser testada sozinha.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00"/>
      </w:tblGrid>
      <w:tr>
        <w:trPr>
          <w:cantSplit/>
          <w:tblHeader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Principal cuidado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1. Dados no tempo certo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Preços, proventos, demonstrações e setor, cada um com a data em que ficou público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Nada do futuro; incluir empresas que saíram da bolsa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2. Universo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Escolhe quais ações entram no dia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 mínima e uma classe por empresa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3. Sinais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Calcula os subitens de cada pilar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Cada sinal com fundamento publicado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4. Tratamento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Apara extremos, padroniza e compara dentro do setor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Mesma escala para todos os sinais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5. Combinação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Junta subitens em pilares e pilares no Score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Pesos fixados antes do teste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6. Risco e regime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o peso do momentum em mercado turbulento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 contra quedas bruscas do fator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7. Saída e governança</w:t>
            </w:r>
          </w:p>
        </w:tc>
        <w:tc>
          <w:tcPr>
            <w:tcW w:type="dxa" w:w="3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Ranking, versão e acompanhamento</w:t>
            </w:r>
          </w:p>
        </w:tc>
        <w:tc>
          <w:tcPr>
            <w:tcW w:type="dxa" w:w="3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Registro de cada versão e de cada teste</w:t>
            </w:r>
          </w:p>
        </w:tc>
      </w:tr>
    </w:tbl>
    <w:p>
      <w:pPr>
        <w:pStyle w:val="Heading2"/>
        <w:keepNext/>
        <w:keepLines/>
      </w:pPr>
      <w:r>
        <w:t xml:space="preserve">Camada 1 — Dados no tempo certo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Data de publicação:</w:t>
      </w:r>
      <w:r>
        <w:t xml:space="preserve"> a demonstração da CVM entra no cálculo só a partir da data de entrega, que consta nos dados abertos.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Viés de sobrevivência:</w:t>
      </w:r>
      <w:r>
        <w:t xml:space="preserve"> o histórico inclui as empresas que deixaram a bolsa. Sem elas, o teste fica otimista.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Proventos e desdobramentos:</w:t>
      </w:r>
      <w:r>
        <w:t xml:space="preserve"> os preços são ajustados por dividendos, juros sobre capital, desdobramentos e grupamentos. Os eventos vêm da B3 e são conferidos pelo salto real de preço.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Saltos sem evento:</w:t>
      </w:r>
      <w:r>
        <w:t xml:space="preserve"> um salto de 3 vezes ou mais num pregão (ou queda a menos de 1/3), sem evento informado pela B3 nem razão exata de desdobramento, é tratado assim:</w:t>
      </w:r>
    </w:p>
    <w:p>
      <w:pPr>
        <w:pStyle w:val="ListParagraph"/>
        <w:numPr>
          <w:ilvl w:val="1"/>
          <w:numId w:val="3"/>
        </w:numPr>
        <w:spacing w:after="60" w:line="280"/>
        <w:jc w:val="both"/>
      </w:pPr>
      <w:r>
        <w:rPr>
          <w:b/>
          <w:bCs/>
        </w:rPr>
        <w:t xml:space="preserve">Patamar mantido:</w:t>
      </w:r>
      <w:r>
        <w:t xml:space="preserve"> se o preço fica no novo nível nos pregões seguintes, o salto é tratado como evento não informado, com retorno zero naquele dia.</w:t>
      </w:r>
    </w:p>
    <w:p>
      <w:pPr>
        <w:pStyle w:val="ListParagraph"/>
        <w:numPr>
          <w:ilvl w:val="1"/>
          <w:numId w:val="3"/>
        </w:numPr>
        <w:spacing w:after="60" w:line="280"/>
        <w:jc w:val="both"/>
      </w:pPr>
      <w:r>
        <w:rPr>
          <w:b/>
          <w:bCs/>
        </w:rPr>
        <w:t xml:space="preserve">Pico de um dia:</w:t>
      </w:r>
      <w:r>
        <w:t xml:space="preserve"> se o preço volta ao nível anterior, o pregão é descartado como erro de dado.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Por quê:</w:t>
      </w:r>
      <w:r>
        <w:t xml:space="preserve"> grupamentos antigos, dos anos 1990 e 2000, nem sempre estão registrados na B3. Sem a regra, eles criariam falsas altas exponenciais. A regra é conservadora: pode apagar uma alta real de 3 vezes num único dia, que é raríssima.</w:t>
      </w:r>
    </w:p>
    <w:p>
      <w:pPr>
        <w:pStyle w:val="Heading2"/>
        <w:keepNext/>
        <w:keepLines/>
        <w:pageBreakBefore/>
      </w:pPr>
      <w:r>
        <w:t xml:space="preserve">Camada 2 — Universo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Liquidez:</w:t>
      </w:r>
      <w:r>
        <w:t xml:space="preserve"> volume financeiro médio de 63 pregões de pelo menos R$ 1 milhão por dia, e índice de iliquidez de Amihud (2002) fora do décimo pior.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Histórico mínimo:</w:t>
      </w:r>
      <w:r>
        <w:t xml:space="preserve"> 252 pregões, porque o sinal de 12 meses precisa de um ano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Uma classe por empresa:</w:t>
      </w:r>
      <w:r>
        <w:t xml:space="preserve"> a mais líquida entre ON, PN e units.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Setores especiais:</w:t>
      </w:r>
      <w:r>
        <w:t xml:space="preserve"> bancos e seguradoras usam indicadores próprios no Pilar 2, porque o balanço deles não tem EBITDA nem dívida líquida no mesmo sentido.</w:t>
      </w:r>
    </w:p>
    <w:p>
      <w:pPr>
        <w:pStyle w:val="Heading2"/>
        <w:keepNext/>
        <w:keepLines/>
      </w:pPr>
      <w:r>
        <w:t xml:space="preserve">Camada 4 — Tratamento</w:t>
      </w:r>
    </w:p>
    <w:p>
      <w:pPr>
        <w:spacing w:after="120" w:line="300"/>
        <w:jc w:val="both"/>
      </w:pPr>
      <w:r>
        <w:t xml:space="preserve">Cada subitem vira uma nota padronizada robusta, calculada dentro do setor. Ela preserva a distância entre as ações e não se deixa levar por valores extremos.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zᵢ = (xᵢ − mediana(x)) / (1,4826 · MAD(x))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nota padronizada </w:t>
      </w:r>
      <w:r>
        <w:rPr>
          <w:b/>
          <w:bCs/>
          <w:color w:val="555555"/>
          <w:sz w:val="20"/>
          <w:szCs w:val="20"/>
        </w:rPr>
        <w:t xml:space="preserve">"zᵢ"</w:t>
      </w:r>
      <w:r>
        <w:rPr>
          <w:color w:val="555555"/>
          <w:sz w:val="20"/>
          <w:szCs w:val="20"/>
        </w:rPr>
        <w:t xml:space="preserve"> 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é igual ao valor </w:t>
      </w:r>
      <w:r>
        <w:rPr>
          <w:b/>
          <w:bCs/>
          <w:color w:val="555555"/>
          <w:sz w:val="20"/>
          <w:szCs w:val="20"/>
        </w:rPr>
        <w:t xml:space="preserve">"xᵢ"</w:t>
      </w:r>
      <w:r>
        <w:rPr>
          <w:color w:val="555555"/>
          <w:sz w:val="20"/>
          <w:szCs w:val="20"/>
        </w:rPr>
        <w:t xml:space="preserve"> menos a </w:t>
      </w:r>
      <w:r>
        <w:rPr>
          <w:b/>
          <w:bCs/>
          <w:color w:val="555555"/>
          <w:sz w:val="20"/>
          <w:szCs w:val="20"/>
        </w:rPr>
        <w:t xml:space="preserve">"mediana"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 entre as ações do setor, dividido por </w:t>
      </w:r>
      <w:r>
        <w:rPr>
          <w:b/>
          <w:bCs/>
          <w:color w:val="555555"/>
          <w:sz w:val="20"/>
          <w:szCs w:val="20"/>
        </w:rPr>
        <w:t xml:space="preserve">"1,4826"</w:t>
      </w:r>
      <w:r>
        <w:rPr>
          <w:color w:val="555555"/>
          <w:sz w:val="20"/>
          <w:szCs w:val="20"/>
        </w:rPr>
        <w:t xml:space="preserve"> vezes o desvio absoluto mediano </w:t>
      </w:r>
      <w:r>
        <w:rPr>
          <w:b/>
          <w:bCs/>
          <w:color w:val="555555"/>
          <w:sz w:val="20"/>
          <w:szCs w:val="20"/>
        </w:rPr>
        <w:t xml:space="preserve">"MAD"</w:t>
      </w:r>
      <w:r>
        <w:rPr>
          <w:color w:val="555555"/>
          <w:sz w:val="20"/>
          <w:szCs w:val="20"/>
        </w:rPr>
        <w:t xml:space="preserve"> de </w:t>
      </w:r>
      <w:r>
        <w:rPr>
          <w:b/>
          <w:bCs/>
          <w:color w:val="555555"/>
          <w:sz w:val="20"/>
          <w:szCs w:val="20"/>
        </w:rPr>
        <w:t xml:space="preserve">"x"</w:t>
      </w:r>
      <w:r>
        <w:rPr>
          <w:color w:val="555555"/>
          <w:sz w:val="20"/>
          <w:szCs w:val="20"/>
        </w:rPr>
        <w:t xml:space="preserve">; o resultado é limitado entre </w:t>
      </w:r>
      <w:r>
        <w:rPr>
          <w:b/>
          <w:bCs/>
          <w:color w:val="555555"/>
          <w:sz w:val="20"/>
          <w:szCs w:val="20"/>
        </w:rPr>
        <w:t xml:space="preserve">"−3"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quantas "unidades de dispersão" a ação está acima ou abaixo da ação típica do seu setor.</w:t>
      </w:r>
    </w:p>
    <w:p>
      <w:pPr>
        <w:spacing w:after="120" w:line="300"/>
        <w:jc w:val="both"/>
      </w:pPr>
      <w:r>
        <w:t xml:space="preserve">A nota de cada pilar é a média das notas dos seus subitens, padronizada de novo pela mesma fórmula. Subitem sem dado entra com nota zero, que é a nota da ação típica.</w:t>
      </w:r>
    </w:p>
    <w:p>
      <w:pPr>
        <w:pStyle w:val="Heading1"/>
        <w:keepNext/>
        <w:keepLines/>
        <w:spacing w:before="360"/>
      </w:pPr>
      <w:r>
        <w:t xml:space="preserve">3. Os quatro pilares</w:t>
      </w:r>
    </w:p>
    <w:p>
      <w:pPr>
        <w:spacing w:after="120" w:line="300"/>
        <w:jc w:val="both"/>
      </w:pPr>
      <w:r>
        <w:t xml:space="preserve">Cada subitem tem pelo menos uma referência publicada. As letras entre parênteses são as usadas nas fórmulas.</w:t>
      </w:r>
    </w:p>
    <w:p>
      <w:pPr>
        <w:pStyle w:val="Heading2"/>
        <w:keepNext/>
        <w:keepLines/>
      </w:pPr>
      <w:r>
        <w:t xml:space="preserve">Pilar 1 — Momentum de preço (M)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12 meses sem o último mês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Vencedores dos últimos 3 a 12 meses continuam vencendo; o último mês reverte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Jegadeesh; Titman (1993); Carhart (1997)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Retorno de 7 a 12 meses atrás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 parte intermediária do passado explica boa parte do efeito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Distância da máxima de 52 semanas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perto da máxima do ano tendem a seguir subindo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George; Hwang (2004)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do caminho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Altas feitas de muitos dias pequenos persistem mais que altas de poucos saltos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Da; Gurun; Warachka (2014); Gray; Vogel (2016)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Tendência pela média móvel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Regras de médias móveis têm poder de previsão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Brock; Lakonishok; LeBaron (1992)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Volume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 volume indica a fase do ciclo do momentum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Lee; Swaminathan (2000)</w:t>
            </w:r>
          </w:p>
        </w:tc>
      </w:tr>
    </w:tbl>
    <w:p>
      <w:pPr>
        <w:pStyle w:val="Heading2"/>
        <w:keepNext/>
        <w:keepLines/>
      </w:pPr>
      <w:r>
        <w:t xml:space="preserve">Pilar 2 — Qualidade e valor (F)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saúde financeira (9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baratas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Piotroski 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bruta sobre o ativo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Prevê retornos tanto quanto o valor, com sinal oposto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Qualidade ampla (rentável, crescente, segura)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Empresas de qualidade rendem mais ajustado ao risco; no Brasil, a qualidade é persistente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Frazzini; Pedersen (2019); Bortoluzzo et al. (2021)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que vira caixa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Lucros muito apoiados em ajustes contábeis tendem a cair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Sloan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Preço sobre o lucro operacional (EV/EBIT)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múltiplo da empresa inteira prevê retornos melhor que outros múltiplos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Loughran; Wellman (2011); Greenblatt (2006); Gray; Carlisle (2012)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Crescimento implícito no preço (novo)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Todo preço embute um crescimento futuro; quem exige menos crescimento do que consegue gerar está mais barato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Molodovsky; May; Chottiner (1965); Gordon (1962)</w:t>
            </w:r>
          </w:p>
        </w:tc>
      </w:tr>
    </w:tbl>
    <w:p>
      <w:pPr>
        <w:spacing w:after="120" w:line="300"/>
        <w:jc w:val="both"/>
      </w:pPr>
      <w:r>
        <w:t xml:space="preserve">O subitem novo tem capítulo próprio (capítulo 4).</w:t>
      </w:r>
    </w:p>
    <w:p>
      <w:pPr>
        <w:pStyle w:val="Heading2"/>
        <w:keepNext/>
        <w:keepLines/>
      </w:pPr>
      <w:r>
        <w:t xml:space="preserve">Pilar 3 — Momento fundamental (A)</w:t>
      </w:r>
    </w:p>
    <w:p>
      <w:pPr>
        <w:spacing w:after="120" w:line="300"/>
        <w:jc w:val="both"/>
      </w:pPr>
      <w:r>
        <w:t xml:space="preserve">O crescimento passado se repete pouco (Chan; Karceski; Lakonishok, 2003). Por isso o pilar mede </w:t>
      </w:r>
      <w:r>
        <w:rPr>
          <w:b/>
          <w:bCs/>
        </w:rPr>
        <w:t xml:space="preserve">surpresas e melhoras recentes nos resultados</w:t>
      </w:r>
      <w:r>
        <w:t xml:space="preserve">, que têm evidência de continuidade.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Surpresa de lucro padronizada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preço continua reagindo por semanas a lucros acima do esperado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Bernard; Thomas (1989); Chan; Jegadeesh; Lakonishok (1996)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Melhora do lucro contra o mesmo trimestre do ano anterior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O momentum de preço é em boa parte momentum de resultado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Novy-Marx (2015)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Escore de crescimento saudável (8 testes)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Separa vencedoras de perdedoras entre as ações de crescimento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Mohanram (2005)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Alavancagem operacional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Sinais de margem e eficiência ajudam a prever lucros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Lev; Thiagarajan (1993)</w:t>
            </w:r>
          </w:p>
        </w:tc>
      </w:tr>
    </w:tbl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SUE = (LPAₜ − LPAₜ₋₄) / dp(LPAₜ − LPAₜ₋₄; 8 trimestres)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surpresa padronizada </w:t>
      </w:r>
      <w:r>
        <w:rPr>
          <w:b/>
          <w:bCs/>
          <w:color w:val="555555"/>
          <w:sz w:val="20"/>
          <w:szCs w:val="20"/>
        </w:rPr>
        <w:t xml:space="preserve">"SUE"</w:t>
      </w:r>
      <w:r>
        <w:rPr>
          <w:color w:val="555555"/>
          <w:sz w:val="20"/>
          <w:szCs w:val="20"/>
        </w:rPr>
        <w:t xml:space="preserve"> é igual ao lucro por ação do trimestre </w:t>
      </w:r>
      <w:r>
        <w:rPr>
          <w:b/>
          <w:bCs/>
          <w:color w:val="555555"/>
          <w:sz w:val="20"/>
          <w:szCs w:val="20"/>
        </w:rPr>
        <w:t xml:space="preserve">"LPAₜ"</w:t>
      </w:r>
      <w:r>
        <w:rPr>
          <w:color w:val="555555"/>
          <w:sz w:val="20"/>
          <w:szCs w:val="20"/>
        </w:rPr>
        <w:t xml:space="preserve"> menos o lucro por ação do mesmo trimestre do ano anterior </w:t>
      </w:r>
      <w:r>
        <w:rPr>
          <w:b/>
          <w:bCs/>
          <w:color w:val="555555"/>
          <w:sz w:val="20"/>
          <w:szCs w:val="20"/>
        </w:rPr>
        <w:t xml:space="preserve">"LPAₜ₋₄"</w:t>
      </w:r>
      <w:r>
        <w:rPr>
          <w:color w:val="555555"/>
          <w:sz w:val="20"/>
          <w:szCs w:val="20"/>
        </w:rPr>
        <w:t xml:space="preserve">, dividido pelo desvio-padrão </w:t>
      </w:r>
      <w:r>
        <w:rPr>
          <w:b/>
          <w:bCs/>
          <w:color w:val="555555"/>
          <w:sz w:val="20"/>
          <w:szCs w:val="20"/>
        </w:rPr>
        <w:t xml:space="preserve">"dp"</w:t>
      </w:r>
      <w:r>
        <w:rPr>
          <w:color w:val="555555"/>
          <w:sz w:val="20"/>
          <w:szCs w:val="20"/>
        </w:rPr>
        <w:t xml:space="preserve"> dessa diferença nos últimos </w:t>
      </w:r>
      <w:r>
        <w:rPr>
          <w:b/>
          <w:bCs/>
          <w:color w:val="555555"/>
          <w:sz w:val="20"/>
          <w:szCs w:val="20"/>
        </w:rPr>
        <w:t xml:space="preserve">"8"</w:t>
      </w:r>
      <w:r>
        <w:rPr>
          <w:color w:val="555555"/>
          <w:sz w:val="20"/>
          <w:szCs w:val="20"/>
        </w:rPr>
        <w:t xml:space="preserve"> trimestres.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mede o quanto o lucro do trimestre surpreendeu, comparado com o tamanho normal das variações daquela empresa.</w:t>
      </w:r>
    </w:p>
    <w:p>
      <w:pPr>
        <w:pStyle w:val="Heading2"/>
        <w:keepNext/>
        <w:keepLines/>
      </w:pPr>
      <w:r>
        <w:t xml:space="preserve">Pilar 4 — Risco e confluência (C)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00"/>
        <w:gridCol w:w="2300"/>
      </w:tblGrid>
      <w:tr>
        <w:trPr>
          <w:cantSplit/>
          <w:tblHeader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Subitem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Referências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Baixa volatilidade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menos voláteis renderam mais ajustado ao risco do que a teoria previa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Ang et al. (2006); Baker; Bradley; Wurgler (2011)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Beta baixo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Carteiras de beta baixo superam as de beta alto ajustado ao risco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Frazzini; Pedersen (2014)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Liquidez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ilíquidas exigem prêmio e são caras de negociar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Amihud (2002)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Concordância entre pilares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Sinais diferentes que apontam juntos dão carteiras mais estáveis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Asness; Moskowitz; Pedersen (2013)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Risco de insolvência (EM Score)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Ações com alto risco de falência rendem anormalmente menos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Altman (1968, 2005); Campbell; Hilscher; Szilagyi (2008)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Indício de manipulação (escore M) — novo</w:t>
            </w:r>
          </w:p>
        </w:tc>
        <w:tc>
          <w:tcPr>
            <w:tcW w:type="dxa" w:w="40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Empresas com sinais de lucro inflado tendem a decepcionar</w:t>
            </w:r>
          </w:p>
        </w:tc>
        <w:tc>
          <w:tcPr>
            <w:tcW w:type="dxa" w:w="23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Beneish (1999); Sloan (1996)</w:t>
            </w:r>
          </w:p>
        </w:tc>
      </w:tr>
    </w:tbl>
    <w:p>
      <w:pPr>
        <w:pStyle w:val="Heading1"/>
        <w:keepNext/>
        <w:keepLines/>
        <w:spacing w:before="360"/>
      </w:pPr>
      <w:r>
        <w:t xml:space="preserve">4. Crescimento implícito</w:t>
      </w:r>
    </w:p>
    <w:p>
      <w:pPr>
        <w:keepNext/>
        <w:spacing w:after="160"/>
      </w:pPr>
      <w:r>
        <w:rPr>
          <w:b/>
          <w:bCs/>
          <w:color w:val="C9A227"/>
          <w:sz w:val="24"/>
          <w:szCs w:val="24"/>
        </w:rPr>
        <w:t xml:space="preserve">Crescimento implícito no preço — o subitem de Molodovsky</w:t>
      </w:r>
    </w:p>
    <w:p>
      <w:pPr>
        <w:spacing w:after="120" w:line="300"/>
        <w:jc w:val="both"/>
      </w:pPr>
      <w:r>
        <w:t xml:space="preserve">Molodovsky, May e Chottiner (1965) mostram que o valor de uma ação é o valor presente de todos os dividendos futuros. Os autores também usam o caminho inverso: partem do preço de hoje e descobrem </w:t>
      </w:r>
      <w:r>
        <w:rPr>
          <w:b/>
          <w:bCs/>
        </w:rPr>
        <w:t xml:space="preserve">quanto crescimento esse preço já exige</w:t>
      </w:r>
      <w:r>
        <w:t xml:space="preserve">.</w:t>
      </w:r>
    </w:p>
    <w:p>
      <w:pPr>
        <w:spacing w:after="120" w:line="300"/>
        <w:jc w:val="both"/>
      </w:pPr>
      <w:r>
        <w:t xml:space="preserve">O Score usa esse caminho inverso. A pergunta do subitem é simples: a empresa consegue entregar o crescimento que o preço já cobra?</w:t>
      </w:r>
    </w:p>
    <w:p>
      <w:pPr>
        <w:pStyle w:val="Heading2"/>
        <w:keepNext/>
        <w:keepLines/>
      </w:pPr>
      <w:r>
        <w:t xml:space="preserve">O caminho do lucro em três fases</w:t>
      </w:r>
    </w:p>
    <w:p>
      <w:pPr>
        <w:spacing w:after="120" w:line="300"/>
        <w:jc w:val="both"/>
      </w:pPr>
      <w:r>
        <w:t xml:space="preserve">O artigo projeta o lucro em três fases: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1, crescimento constante:</w:t>
      </w:r>
      <w:r>
        <w:t xml:space="preserve"> o lucro cresce à taxa </w:t>
      </w:r>
      <w:r>
        <w:rPr>
          <w:b/>
          <w:bCs/>
        </w:rPr>
        <w:t xml:space="preserve">"g"</w:t>
      </w:r>
      <w:r>
        <w:t xml:space="preserve"> por 10 anos.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2, transição:</w:t>
      </w:r>
      <w:r>
        <w:t xml:space="preserve"> a taxa cai em linha reta por 20 anos, como na simplificação usada pelos autores.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Fase 3, maturidade:</w:t>
      </w:r>
      <w:r>
        <w:t xml:space="preserve"> o lucro passa a acompanhar a inflação esperada </w:t>
      </w:r>
      <w:r>
        <w:rPr>
          <w:b/>
          <w:bCs/>
        </w:rPr>
        <w:t xml:space="preserve">"π"</w:t>
      </w:r>
      <w:r>
        <w:t xml:space="preserve">.</w:t>
      </w:r>
    </w:p>
    <w:p>
      <w:pPr>
        <w:spacing w:after="120" w:line="300"/>
        <w:jc w:val="both"/>
      </w:pPr>
      <w:r>
        <w:t xml:space="preserve">A fase 3 é a única adaptação ao Brasil. No artigo, o lucro fica parado para sempre. Com a inflação brasileira, lucro parado em reais significa lucro encolhendo em poder de compra.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gₛ = g, se s ≤ 10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g − (g − π) · (s − 10) / 20, se 10 &lt; s ≤ 30</w:t>
      </w:r>
      <w:r>
        <w:rPr>
          <w:rFonts w:ascii="Cambria Math" w:cs="Cambria Math" w:eastAsia="Cambria Math" w:hAnsi="Cambria Math"/>
          <w:sz w:val="24"/>
          <w:szCs w:val="24"/>
        </w:rPr>
        <w:br/>
        <w:t xml:space="preserve">gₛ = π, se s &gt; 30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no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até o ano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; entre os anos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menos a diferença entre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"10"</w:t>
      </w:r>
      <w:r>
        <w:rPr>
          <w:color w:val="555555"/>
          <w:sz w:val="20"/>
          <w:szCs w:val="20"/>
        </w:rPr>
        <w:t xml:space="preserve">, dividido por </w:t>
      </w:r>
      <w:r>
        <w:rPr>
          <w:b/>
          <w:bCs/>
          <w:color w:val="555555"/>
          <w:sz w:val="20"/>
          <w:szCs w:val="20"/>
        </w:rPr>
        <w:t xml:space="preserve">"20"</w:t>
      </w:r>
      <w:r>
        <w:rPr>
          <w:color w:val="555555"/>
          <w:sz w:val="20"/>
          <w:szCs w:val="20"/>
        </w:rPr>
        <w:t xml:space="preserve">; depois do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é igual a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o lucro cresce rápido por 10 anos, desacelera aos poucos por 20 anos e depois só acompanha a inflação.</w:t>
      </w:r>
    </w:p>
    <w:p>
      <w:pPr>
        <w:pStyle w:val="Heading2"/>
        <w:keepNext/>
        <w:keepLines/>
        <w:pageBreakBefore/>
      </w:pPr>
      <w:r>
        <w:t xml:space="preserve">Do lucro ao dividendo</w:t>
      </w:r>
    </w:p>
    <w:p>
      <w:pPr>
        <w:spacing w:after="120" w:line="300"/>
        <w:jc w:val="both"/>
      </w:pPr>
      <w:r>
        <w:t xml:space="preserve">O artigo liga o dividendo ao crescimento: quem cresce muito reinveste muito e paga pouco. A mesma ligação aparece em Gordon (1962), pela taxa de crescimento sustentável.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Dₛ = Eₛ · (1 − gₛ / R)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dividendo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do ano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é igual ao lucro </w:t>
      </w:r>
      <w:r>
        <w:rPr>
          <w:b/>
          <w:bCs/>
          <w:color w:val="555555"/>
          <w:sz w:val="20"/>
          <w:szCs w:val="20"/>
        </w:rPr>
        <w:t xml:space="preserve">"Eₛ"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a taxa de crescimento </w:t>
      </w:r>
      <w:r>
        <w:rPr>
          <w:b/>
          <w:bCs/>
          <w:color w:val="555555"/>
          <w:sz w:val="20"/>
          <w:szCs w:val="20"/>
        </w:rPr>
        <w:t xml:space="preserve">"gₛ"</w:t>
      </w:r>
      <w:r>
        <w:rPr>
          <w:color w:val="555555"/>
          <w:sz w:val="20"/>
          <w:szCs w:val="20"/>
        </w:rPr>
        <w:t xml:space="preserve"> dividida pela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para crescer, a empresa retém parte do lucro; quanto maior o crescimento, menor a parte que sobra para os acionistas.</w:t>
      </w:r>
    </w:p>
    <w:p>
      <w:pPr>
        <w:pStyle w:val="Heading2"/>
        <w:keepNext/>
        <w:keepLines/>
      </w:pPr>
      <w:r>
        <w:t xml:space="preserve">Valor e crescimento implícito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V(g) = Σₛ₌₁³⁰ Dₛ / (1 + k)ˢ + [E₃₀ · (1 + π) · (1 − π / R)] / [(k − π) · (1 + k)³⁰]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em função de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é igual à soma, do ano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ao ano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, dos dividendos </w:t>
      </w:r>
      <w:r>
        <w:rPr>
          <w:b/>
          <w:bCs/>
          <w:color w:val="555555"/>
          <w:sz w:val="20"/>
          <w:szCs w:val="20"/>
        </w:rPr>
        <w:t xml:space="preserve">"Dₛ"</w:t>
      </w:r>
      <w:r>
        <w:rPr>
          <w:color w:val="555555"/>
          <w:sz w:val="20"/>
          <w:szCs w:val="20"/>
        </w:rPr>
        <w:t xml:space="preserve"> divididos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; mais o valor da fase de maturidade, que é o lucro </w:t>
      </w:r>
      <w:r>
        <w:rPr>
          <w:b/>
          <w:bCs/>
          <w:color w:val="555555"/>
          <w:sz w:val="20"/>
          <w:szCs w:val="20"/>
        </w:rPr>
        <w:t xml:space="preserve">"E₃₀"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,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, tudo dividido por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"π"</w:t>
      </w:r>
      <w:r>
        <w:rPr>
          <w:color w:val="555555"/>
          <w:sz w:val="20"/>
          <w:szCs w:val="20"/>
        </w:rPr>
        <w:t xml:space="preserve"> e por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"k"</w:t>
      </w:r>
      <w:r>
        <w:rPr>
          <w:color w:val="555555"/>
          <w:sz w:val="20"/>
          <w:szCs w:val="20"/>
        </w:rPr>
        <w:t xml:space="preserve"> elevado a </w:t>
      </w:r>
      <w:r>
        <w:rPr>
          <w:b/>
          <w:bCs/>
          <w:color w:val="555555"/>
          <w:sz w:val="20"/>
          <w:szCs w:val="20"/>
        </w:rPr>
        <w:t xml:space="preserve">"30"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soma, trazidos para hoje, todos os dividendos que a empresa pagaria nesse caminho de lucro.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V(g*) = P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 é a taxa </w:t>
      </w:r>
      <w:r>
        <w:rPr>
          <w:b/>
          <w:bCs/>
          <w:color w:val="555555"/>
          <w:sz w:val="20"/>
          <w:szCs w:val="20"/>
        </w:rPr>
        <w:t xml:space="preserve">"g"</w:t>
      </w:r>
      <w:r>
        <w:rPr>
          <w:color w:val="555555"/>
          <w:sz w:val="20"/>
          <w:szCs w:val="20"/>
        </w:rPr>
        <w:t xml:space="preserve"> que faz o valor </w:t>
      </w:r>
      <w:r>
        <w:rPr>
          <w:b/>
          <w:bCs/>
          <w:color w:val="555555"/>
          <w:sz w:val="20"/>
          <w:szCs w:val="20"/>
        </w:rPr>
        <w:t xml:space="preserve">"V"</w:t>
      </w:r>
      <w:r>
        <w:rPr>
          <w:color w:val="555555"/>
          <w:sz w:val="20"/>
          <w:szCs w:val="20"/>
        </w:rPr>
        <w:t xml:space="preserve"> ficar igual ao preço de mercado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é o crescimento anual que o preço de hoje já está cobrando da empresa.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"g*"</w:t>
      </w:r>
      <w:r>
        <w:t xml:space="preserve"> é encontrado por bisseção entre −20% e 60% ao ano. Se nem 60% justificam o preço, vale 60%.</w:t>
      </w:r>
    </w:p>
    <w:p>
      <w:pPr>
        <w:pStyle w:val="Heading2"/>
        <w:keepNext/>
        <w:keepLines/>
      </w:pPr>
      <w:r>
        <w:t xml:space="preserve">A nota do subitem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Folga = R · (1 − p) − g*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a </w:t>
      </w:r>
      <w:r>
        <w:rPr>
          <w:b/>
          <w:bCs/>
          <w:color w:val="555555"/>
          <w:sz w:val="20"/>
          <w:szCs w:val="20"/>
        </w:rPr>
        <w:t xml:space="preserve">"Folga"</w:t>
      </w:r>
      <w:r>
        <w:rPr>
          <w:color w:val="555555"/>
          <w:sz w:val="20"/>
          <w:szCs w:val="20"/>
        </w:rPr>
        <w:t xml:space="preserve"> é igual à rentabilidade do patrimônio </w:t>
      </w:r>
      <w:r>
        <w:rPr>
          <w:b/>
          <w:bCs/>
          <w:color w:val="555555"/>
          <w:sz w:val="20"/>
          <w:szCs w:val="20"/>
        </w:rPr>
        <w:t xml:space="preserve">"R"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o índice de distribuição de lucros </w:t>
      </w:r>
      <w:r>
        <w:rPr>
          <w:b/>
          <w:bCs/>
          <w:color w:val="555555"/>
          <w:sz w:val="20"/>
          <w:szCs w:val="20"/>
        </w:rPr>
        <w:t xml:space="preserve">"p"</w:t>
      </w:r>
      <w:r>
        <w:rPr>
          <w:color w:val="555555"/>
          <w:sz w:val="20"/>
          <w:szCs w:val="20"/>
        </w:rPr>
        <w:t xml:space="preserve">, menos o crescimento implícito </w:t>
      </w:r>
      <w:r>
        <w:rPr>
          <w:b/>
          <w:bCs/>
          <w:color w:val="555555"/>
          <w:sz w:val="20"/>
          <w:szCs w:val="20"/>
        </w:rPr>
        <w:t xml:space="preserve">"g*"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compara o crescimento que a empresa consegue gerar com os próprios recursos com o crescimento que o preço exige. Folga positiva é bom sinal.</w:t>
      </w:r>
    </w:p>
    <w:p>
      <w:pPr>
        <w:spacing w:after="120" w:line="300"/>
        <w:jc w:val="both"/>
      </w:pPr>
      <w:r>
        <w:t xml:space="preserve">A Folga entra no Pilar 2 como os demais subitens, padronizada dentro do setor.</w:t>
      </w:r>
    </w:p>
    <w:p>
      <w:pPr>
        <w:pStyle w:val="Heading2"/>
        <w:keepNext/>
        <w:keepLines/>
      </w:pPr>
      <w:r>
        <w:t xml:space="preserve">Parâmetros congelados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cantSplit/>
          <w:tblHeader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no registro prévio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(E₀)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 lucro por ação dos 3 últimos exercícios, sendo o mais recente os 12 meses até o último trimestre publicado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Rentabilidade do patrimônio (R)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limitada entre 5% e 40% ao ano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Índice de distribuição (p)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média dos 3 últimos exercícios, limitado entre 0 e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Inflação esperada (π)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mediana do Boletim Focus para o IPCA do ano seguinte, na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Taxa exigida (k)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juro real da NTN-B mais longa, mais π, mais 4 pontos percentuais de prêmio de risco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Lucro normal negativo ou zero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subitem sem dado (nota zero)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Bancos e seguradoras</w:t>
            </w:r>
          </w:p>
        </w:tc>
        <w:tc>
          <w:tcPr>
            <w:tcW w:type="dxa" w:w="58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mesma fórmula, com R e p do próprio balanço</w:t>
            </w:r>
          </w:p>
        </w:tc>
      </w:tr>
    </w:tbl>
    <w:p>
      <w:pPr>
        <w:pStyle w:val="Heading1"/>
        <w:keepNext/>
        <w:keepLines/>
        <w:pageBreakBefore/>
      </w:pPr>
      <w:r>
        <w:t xml:space="preserve">5. Combinação e risco</w:t>
      </w:r>
    </w:p>
    <w:p>
      <w:pPr>
        <w:pStyle w:val="Heading2"/>
        <w:keepNext/>
        <w:keepLines/>
      </w:pPr>
      <w:r>
        <w:t xml:space="preserve">Proteção do momentum</w:t>
      </w:r>
    </w:p>
    <w:p>
      <w:pPr>
        <w:spacing w:after="120" w:line="300"/>
        <w:jc w:val="both"/>
      </w:pPr>
      <w:r>
        <w:t xml:space="preserve">O fator momentum tem colapsos raros e fortes, quase sempre na saída de mercados em queda (Daniel; Moskowitz, 2016). No Brasil isso apareceu em 2008 e 2009.</w:t>
      </w:r>
    </w:p>
    <w:p>
      <w:pPr>
        <w:spacing w:after="120" w:line="300"/>
        <w:jc w:val="both"/>
      </w:pPr>
      <w:r>
        <w:t xml:space="preserve">Reduzir a exposição ao fator quando a volatilidade dele sobe melhora o resultado e corta as piores perdas (Barroso; Santa-Clara, 2015).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mₜ = mín(1; σ_alvo / σ̂ₜ)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multiplicador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menor valor entre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e a volatilidade-alvo </w:t>
      </w:r>
      <w:r>
        <w:rPr>
          <w:b/>
          <w:bCs/>
          <w:color w:val="555555"/>
          <w:sz w:val="20"/>
          <w:szCs w:val="20"/>
        </w:rPr>
        <w:t xml:space="preserve">"σ_alvo"</w:t>
      </w:r>
      <w:r>
        <w:rPr>
          <w:color w:val="555555"/>
          <w:sz w:val="20"/>
          <w:szCs w:val="20"/>
        </w:rPr>
        <w:t xml:space="preserve"> dividida pela volatilidade realizada </w:t>
      </w:r>
      <w:r>
        <w:rPr>
          <w:b/>
          <w:bCs/>
          <w:color w:val="555555"/>
          <w:sz w:val="20"/>
          <w:szCs w:val="20"/>
        </w:rPr>
        <w:t xml:space="preserve">"σ̂ₜ"</w:t>
      </w:r>
      <w:r>
        <w:rPr>
          <w:color w:val="555555"/>
          <w:sz w:val="20"/>
          <w:szCs w:val="20"/>
        </w:rPr>
        <w:t xml:space="preserve"> do fator momentum.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quando o fator momentum fica mais agitado que o normal, o peso dele diminui na mesma proporção; nunca aumenta além do peso cheio.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 realizada (σ̂ₜ):</w:t>
      </w:r>
      <w:r>
        <w:t xml:space="preserve"> desvio-padrão dos retornos diários do fator WML do NEFIN nos últimos 126 pregões, anualizado.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Volatilidade-alvo (σ_alvo):</w:t>
      </w:r>
      <w:r>
        <w:t xml:space="preserve"> 12% ao ano, o valor usado por Barroso e Santa-Clara (2015).</w:t>
      </w:r>
    </w:p>
    <w:p>
      <w:pPr>
        <w:pStyle w:val="Heading2"/>
        <w:keepNext/>
        <w:keepLines/>
      </w:pPr>
      <w:r>
        <w:t xml:space="preserve">Pesos dos pilares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w_M = 0,25 · mₜ;   w_F = w_A = w_C = (1 − w_M) / 3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peso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 do pilar Momentum é </w:t>
      </w:r>
      <w:r>
        <w:rPr>
          <w:b/>
          <w:bCs/>
          <w:color w:val="555555"/>
          <w:sz w:val="20"/>
          <w:szCs w:val="20"/>
        </w:rPr>
        <w:t xml:space="preserve">"0,25"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"mₜ"</w:t>
      </w:r>
      <w:r>
        <w:rPr>
          <w:color w:val="555555"/>
          <w:sz w:val="20"/>
          <w:szCs w:val="20"/>
        </w:rPr>
        <w:t xml:space="preserve">; os pesos </w:t>
      </w:r>
      <w:r>
        <w:rPr>
          <w:b/>
          <w:bCs/>
          <w:color w:val="555555"/>
          <w:sz w:val="20"/>
          <w:szCs w:val="20"/>
        </w:rPr>
        <w:t xml:space="preserve">"w_F"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"w_A"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"w_C"</w:t>
      </w:r>
      <w:r>
        <w:rPr>
          <w:color w:val="555555"/>
          <w:sz w:val="20"/>
          <w:szCs w:val="20"/>
        </w:rPr>
        <w:t xml:space="preserve"> dos outros três pilares são iguais e dividem entre si o que sobra,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menos </w:t>
      </w:r>
      <w:r>
        <w:rPr>
          <w:b/>
          <w:bCs/>
          <w:color w:val="555555"/>
          <w:sz w:val="20"/>
          <w:szCs w:val="20"/>
        </w:rPr>
        <w:t xml:space="preserve">"w_M"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em mercado calmo, os quatro pilares pesam 25% cada; em mercado turbulento, o peso que sai do Momentum vai para os outros três.</w:t>
      </w:r>
    </w:p>
    <w:p>
      <w:pPr>
        <w:pStyle w:val="Heading2"/>
        <w:keepNext/>
        <w:keepLines/>
      </w:pPr>
      <w:r>
        <w:t xml:space="preserve">Risco de crédito e de manipulação</w:t>
      </w:r>
    </w:p>
    <w:p>
      <w:pPr>
        <w:spacing w:after="120" w:line="300"/>
        <w:jc w:val="both"/>
      </w:pPr>
      <w:r>
        <w:t xml:space="preserve">Na v1.0.1, os dois indicadores contábeis de alerta passam a ser subitens do Pilar 4. Eles não tiram pontos fixos. Entram padronizados dentro do setor, como todos os outros subitens.</w:t>
      </w:r>
    </w:p>
    <w:p>
      <w:pPr>
        <w:spacing w:after="120" w:line="300"/>
        <w:jc w:val="both"/>
      </w:pPr>
      <w:r>
        <w:t xml:space="preserve">Assim, nenhum número é escolhido por nós. O peso deles vem da mesma regra que vale para o resto do Score.</w:t>
      </w:r>
    </w:p>
    <w:p>
      <w:pPr>
        <w:pStyle w:val="Heading3"/>
        <w:keepNext/>
        <w:keepLines/>
      </w:pPr>
      <w:r>
        <w:t xml:space="preserve">EM Score de Altman (2005)</w:t>
      </w:r>
    </w:p>
    <w:p>
      <w:pPr>
        <w:spacing w:after="120" w:line="300"/>
        <w:jc w:val="both"/>
      </w:pPr>
      <w:r>
        <w:t xml:space="preserve">O escore Z original de Altman (1968) foi calibrado só com indústrias americanas. O próprio Altman criou depois uma versão sem o giro do ativo e sem o valor de mercado, testada em indústrias e não indústrias. Para mercados emergentes, ela recebe uma constante.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EM = 6,56 · X₁ + 3,26 · X₂ + 6,72 · X₃ + 1,05 · X₄ + 3,25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escore </w:t>
      </w:r>
      <w:r>
        <w:rPr>
          <w:b/>
          <w:bCs/>
          <w:color w:val="555555"/>
          <w:sz w:val="20"/>
          <w:szCs w:val="20"/>
        </w:rPr>
        <w:t xml:space="preserve">"EM"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"6,56"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"X₁"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"3,26"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"X₂"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"6,72"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"X₃"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"1,05"</w:t>
      </w:r>
      <w:r>
        <w:rPr>
          <w:color w:val="555555"/>
          <w:sz w:val="20"/>
          <w:szCs w:val="20"/>
        </w:rPr>
        <w:t xml:space="preserve"> vezes </w:t>
      </w:r>
      <w:r>
        <w:rPr>
          <w:b/>
          <w:bCs/>
          <w:color w:val="555555"/>
          <w:sz w:val="20"/>
          <w:szCs w:val="20"/>
        </w:rPr>
        <w:t xml:space="preserve">"X₄"</w:t>
      </w:r>
      <w:r>
        <w:rPr>
          <w:color w:val="555555"/>
          <w:sz w:val="20"/>
          <w:szCs w:val="20"/>
        </w:rPr>
        <w:t xml:space="preserve">, mais a constante </w:t>
      </w:r>
      <w:r>
        <w:rPr>
          <w:b/>
          <w:bCs/>
          <w:color w:val="555555"/>
          <w:sz w:val="20"/>
          <w:szCs w:val="20"/>
        </w:rPr>
        <w:t xml:space="preserve">"3,25"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junta folga de caixa, lucro acumulado, lucro operacional e patrimônio frente às dívidas. Quanto maior a nota, menor o risco de falência.</w:t>
      </w:r>
    </w:p>
    <w:p>
      <w:pPr>
        <w:spacing w:after="120" w:line="300"/>
        <w:jc w:val="both"/>
      </w:pPr>
      <w:r>
        <w:t xml:space="preserve">Os quatro índices são calculados assim: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X₁:</w:t>
      </w:r>
      <w:r>
        <w:t xml:space="preserve"> capital de giro (ativo circulante menos passivo circulante)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X₂:</w:t>
      </w:r>
      <w:r>
        <w:t xml:space="preserve"> lucro acumulado ÷ ativo total. No Brasil, desde 2008 a conta "lucros acumulados" fica zerada no balanço. Por isso o lucro acumulado é a soma das reservas de lucros com os lucros ou prejuízos acumulados, como Altman recomenda adaptar à contabilidade local.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X₃:</w:t>
      </w:r>
      <w:r>
        <w:t xml:space="preserve"> lucro operacional (antes de juros e impostos) dos últimos 12 meses ÷ ativo total.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X₄:</w:t>
      </w:r>
      <w:r>
        <w:t xml:space="preserve"> patrimônio líquido contábil ÷ passivo total.</w:t>
      </w:r>
    </w:p>
    <w:p>
      <w:pPr>
        <w:spacing w:after="120" w:line="300"/>
        <w:jc w:val="both"/>
      </w:pPr>
      <w:r>
        <w:t xml:space="preserve">As faixas de Altman (2005) ficam só como aviso na tela do Radar, sem mudar a nota: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segura:</w:t>
      </w:r>
      <w:r>
        <w:t xml:space="preserve"> 5,85 ou mais, equivalente a rating BBB ou melhor.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cinzenta:</w:t>
      </w:r>
      <w:r>
        <w:t xml:space="preserve"> de 4,15 a 5,85.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Zona de perigo:</w:t>
      </w:r>
      <w:r>
        <w:t xml:space="preserve"> abaixo de 4,15, equivalente a rating B- ou pior. O Radar mostra o aviso "risco de crédito elevado".</w:t>
      </w:r>
    </w:p>
    <w:p>
      <w:pPr>
        <w:spacing w:after="120" w:line="300"/>
        <w:jc w:val="both"/>
      </w:pPr>
      <w:r>
        <w:t xml:space="preserve">Altman descreve outros cinco passos de ajuste (câmbio, setor, posição competitiva, garantias e risco do país). Eles são julgamentos de analista para títulos de dívida e não entram no Score. O próprio Altman diz que o primeiro passo, a nota sozinha, já traz informação útil.</w:t>
      </w:r>
    </w:p>
    <w:p>
      <w:pPr>
        <w:pStyle w:val="Heading3"/>
        <w:keepNext/>
        <w:keepLines/>
      </w:pPr>
      <w:r>
        <w:t xml:space="preserve">Escore M de Beneish (1999)</w:t>
      </w:r>
    </w:p>
    <w:p>
      <w:pPr>
        <w:spacing w:after="120" w:line="300"/>
        <w:jc w:val="both"/>
      </w:pPr>
      <w:r>
        <w:t xml:space="preserve">O escore M combina oito índices contábeis, com os pesos publicados por Beneish. Valores altos indicam lucro possivelmente inflado.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No Score:</w:t>
      </w:r>
      <w:r>
        <w:t xml:space="preserve"> entra com o sinal trocado, porque escore M alto é ruim.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Aviso na tela:</w:t>
      </w:r>
      <w:r>
        <w:t xml:space="preserve"> escore M acima de −1,78, o limite do artigo.</w:t>
      </w:r>
    </w:p>
    <w:p>
      <w:pPr>
        <w:pStyle w:val="Heading3"/>
        <w:keepNext/>
        <w:keepLines/>
      </w:pPr>
      <w:r>
        <w:t xml:space="preserve">Quem fica de fora</w:t>
      </w:r>
    </w:p>
    <w:p>
      <w:pPr>
        <w:spacing w:after="120" w:line="300"/>
        <w:jc w:val="both"/>
      </w:pPr>
      <w:r>
        <w:t xml:space="preserve">Bancos, seguradoras e demais financeiras não têm nenhum dos dois subitens, porque os modelos não servem para os balanços delas. Para elas, os dois subitens entram com nota zero, a nota da ação típica.</w:t>
      </w:r>
    </w:p>
    <w:p>
      <w:pPr>
        <w:pStyle w:val="Heading2"/>
        <w:keepNext/>
        <w:keepLines/>
      </w:pPr>
      <w:r>
        <w:t xml:space="preserve">O Score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Score = 50 + (50 / 3) · (w_M · z_M + w_F · z_F + w_A · z_A + w_C · z_C)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</w:t>
      </w:r>
      <w:r>
        <w:rPr>
          <w:b/>
          <w:bCs/>
          <w:color w:val="555555"/>
          <w:sz w:val="20"/>
          <w:szCs w:val="20"/>
        </w:rPr>
        <w:t xml:space="preserve">"Score"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"50"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"3"</w:t>
      </w:r>
      <w:r>
        <w:rPr>
          <w:color w:val="555555"/>
          <w:sz w:val="20"/>
          <w:szCs w:val="20"/>
        </w:rPr>
        <w:t xml:space="preserve">, vezes a soma das notas dos pilares </w:t>
      </w:r>
      <w:r>
        <w:rPr>
          <w:b/>
          <w:bCs/>
          <w:color w:val="555555"/>
          <w:sz w:val="20"/>
          <w:szCs w:val="20"/>
        </w:rPr>
        <w:t xml:space="preserve">"z_M"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"z_F"</w:t>
      </w:r>
      <w:r>
        <w:rPr>
          <w:color w:val="555555"/>
          <w:sz w:val="20"/>
          <w:szCs w:val="20"/>
        </w:rPr>
        <w:t xml:space="preserve">, </w:t>
      </w:r>
      <w:r>
        <w:rPr>
          <w:b/>
          <w:bCs/>
          <w:color w:val="555555"/>
          <w:sz w:val="20"/>
          <w:szCs w:val="20"/>
        </w:rPr>
        <w:t xml:space="preserve">"z_A"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"z_C"</w:t>
      </w:r>
      <w:r>
        <w:rPr>
          <w:color w:val="555555"/>
          <w:sz w:val="20"/>
          <w:szCs w:val="20"/>
        </w:rPr>
        <w:t xml:space="preserve">, cada uma multiplicada pelo seu peso; o resultado é limitado entre </w:t>
      </w:r>
      <w:r>
        <w:rPr>
          <w:b/>
          <w:bCs/>
          <w:color w:val="555555"/>
          <w:sz w:val="20"/>
          <w:szCs w:val="20"/>
        </w:rPr>
        <w:t xml:space="preserve">"0"</w:t>
      </w:r>
      <w:r>
        <w:rPr>
          <w:color w:val="555555"/>
          <w:sz w:val="20"/>
          <w:szCs w:val="20"/>
        </w:rPr>
        <w:t xml:space="preserve"> e </w:t>
      </w:r>
      <w:r>
        <w:rPr>
          <w:b/>
          <w:bCs/>
          <w:color w:val="555555"/>
          <w:sz w:val="20"/>
          <w:szCs w:val="20"/>
        </w:rPr>
        <w:t xml:space="preserve">"100"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uma ação na média de todos os pilares fica com 50; cada vantagem consistente sobe a nota.</w:t>
      </w:r>
    </w:p>
    <w:p>
      <w:pPr>
        <w:spacing w:after="120" w:line="300"/>
        <w:jc w:val="both"/>
      </w:pPr>
      <w:r>
        <w:t xml:space="preserve">Com pesos iguais, a soma ponderada é a média das quatro notas, como na versão 0.2 (DeMiguel; Garlappi; Uppal, 2009).</w:t>
      </w:r>
    </w:p>
    <w:p>
      <w:pPr>
        <w:pStyle w:val="Heading1"/>
        <w:keepNext/>
        <w:keepLines/>
        <w:pageBreakBefore/>
      </w:pPr>
      <w:r>
        <w:t xml:space="preserve">6. Teste histórico</w:t>
      </w:r>
    </w:p>
    <w:p>
      <w:pPr>
        <w:spacing w:after="120" w:line="300"/>
        <w:jc w:val="both"/>
      </w:pPr>
      <w:r>
        <w:t xml:space="preserve">O teste histórico é a parte que mais engana quando mal feito. Com tentativas suficientes, sempre aparece uma estratégia que "funcionou" por acaso (Bailey et al., 2014).</w:t>
      </w:r>
    </w:p>
    <w:p>
      <w:pPr>
        <w:pStyle w:val="Heading2"/>
        <w:keepNext/>
        <w:keepLines/>
      </w:pPr>
      <w:r>
        <w:t xml:space="preserve">Dados aprovados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Cotações:</w:t>
      </w:r>
      <w:r>
        <w:t xml:space="preserve"> arquivos anuais e diários de cotações históricas da B3 (COTAHIST), desde 2006.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Demonstrações:</w:t>
      </w:r>
      <w:r>
        <w:t xml:space="preserve"> dados abertos da CVM. O histórico trimestral (ITR)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Fatores de risco:</w:t>
      </w:r>
      <w:r>
        <w:t xml:space="preserve"> mercado, tamanho, valor, momentum, iliquidez e taxa livre de risco, diários, do NEFIN-USP.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Juros e inflação:</w:t>
      </w:r>
      <w:r>
        <w:t xml:space="preserve"> NTN-B (Tesouro Nacional) e Boletim Focus (Banco Central).</w:t>
      </w:r>
    </w:p>
    <w:p>
      <w:pPr>
        <w:pStyle w:val="Heading2"/>
        <w:keepNext/>
        <w:keepLines/>
      </w:pPr>
      <w:r>
        <w:t xml:space="preserve">Períodos</w:t>
      </w:r>
    </w:p>
    <w:p>
      <w:pPr>
        <w:spacing w:after="120" w:line="300"/>
        <w:jc w:val="both"/>
      </w:pPr>
      <w:r>
        <w:t xml:space="preserve">As datas de início dependem dos dados: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Pilar Momentum sozinho:</w:t>
      </w:r>
      <w:r>
        <w:t xml:space="preserve"> de 2007 a hoje, porque o sinal de 12 meses precisa de 2006 inteiro.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Score completo:</w:t>
      </w:r>
      <w:r>
        <w:t xml:space="preserve"> de 2013 a hoje. A surpresa de lucro precisa de 8 trimestres, e o histórico da CVM começa em 2011.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Período guardado:</w:t>
      </w:r>
      <w:r>
        <w:t xml:space="preserve"> os últimos 36 meses ficam fora de qualquer escolha e servem só para a conferência final.</w:t>
      </w:r>
    </w:p>
    <w:p>
      <w:pPr>
        <w:pStyle w:val="Heading2"/>
        <w:keepNext/>
        <w:keepLines/>
      </w:pPr>
      <w:r>
        <w:t xml:space="preserve">Desenho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Frequência:</w:t>
      </w:r>
      <w:r>
        <w:t xml:space="preserve"> Score recalculado no último pregão de cada mês, só com o que era público na data.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Carteiras sobrepostas:</w:t>
      </w:r>
      <w:r>
        <w:t xml:space="preserve"> quintis mantidos por 1, 3, 6 e 12 meses, várias abertas ao mesmo tempo (Jegadeesh; Titman, 1993).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Custos:</w:t>
      </w:r>
      <w:r>
        <w:t xml:space="preserve"> corretagem, emolumentos e o spread de compra e venda, que pesa mais nas ações menos líquidas (Novy-Marx; Velikov, 2016).</w:t>
      </w:r>
    </w:p>
    <w:p>
      <w:pPr>
        <w:pStyle w:val="ListParagraph"/>
        <w:numPr>
          <w:ilvl w:val="0"/>
          <w:numId w:val="4"/>
        </w:numPr>
        <w:spacing w:after="60" w:line="280"/>
        <w:jc w:val="both"/>
      </w:pPr>
      <w:r>
        <w:rPr>
          <w:b/>
          <w:bCs/>
        </w:rPr>
        <w:t xml:space="preserve">Carteira do Radar:</w:t>
      </w:r>
      <w:r>
        <w:t xml:space="preserve"> além dos quintis, o teste acompanha a carteira com faixa de manutenção (capítulo 7), depois dos custos, com o giro mensal informado.</w:t>
      </w:r>
    </w:p>
    <w:p>
      <w:pPr>
        <w:pStyle w:val="Heading2"/>
        <w:keepNext/>
        <w:keepLines/>
      </w:pPr>
      <w:r>
        <w:t xml:space="preserve">Medidas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Regressões em seção transversal:</w:t>
      </w:r>
      <w:r>
        <w:t xml:space="preserve"> a média dos coeficientes mensais mostra o poder de previsão (Fama; MacBeth, 1973), com erros corrigidos (Newey; West, 1987).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Alfa contra os fatores brasileiros:</w:t>
      </w:r>
      <w:r>
        <w:t xml:space="preserve"> mostra se o Score acrescenta algo além dos fatores conhecidos (Carhart, 1997).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rₚ,ₜ − r_f,ₜ = α + β·MKTₜ + s·SMBₜ + h·HMLₜ + w·WMLₜ + l·IMLₜ + εₜ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retorno da carteira </w:t>
      </w:r>
      <w:r>
        <w:rPr>
          <w:b/>
          <w:bCs/>
          <w:color w:val="555555"/>
          <w:sz w:val="20"/>
          <w:szCs w:val="20"/>
        </w:rPr>
        <w:t xml:space="preserve">"rₚ,ₜ"</w:t>
      </w:r>
      <w:r>
        <w:rPr>
          <w:color w:val="555555"/>
          <w:sz w:val="20"/>
          <w:szCs w:val="20"/>
        </w:rPr>
        <w:t xml:space="preserve"> menos a taxa livre de risco </w:t>
      </w:r>
      <w:r>
        <w:rPr>
          <w:b/>
          <w:bCs/>
          <w:color w:val="555555"/>
          <w:sz w:val="20"/>
          <w:szCs w:val="20"/>
        </w:rPr>
        <w:t xml:space="preserve">"r_f,ₜ"</w:t>
      </w:r>
      <w:r>
        <w:rPr>
          <w:color w:val="555555"/>
          <w:sz w:val="20"/>
          <w:szCs w:val="20"/>
        </w:rPr>
        <w:t xml:space="preserve"> no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"α"</w:t>
      </w:r>
      <w:r>
        <w:rPr>
          <w:color w:val="555555"/>
          <w:sz w:val="20"/>
          <w:szCs w:val="20"/>
        </w:rPr>
        <w:t xml:space="preserve"> mais </w:t>
      </w:r>
      <w:r>
        <w:rPr>
          <w:b/>
          <w:bCs/>
          <w:color w:val="555555"/>
          <w:sz w:val="20"/>
          <w:szCs w:val="20"/>
        </w:rPr>
        <w:t xml:space="preserve">"β"</w:t>
      </w:r>
      <w:r>
        <w:rPr>
          <w:color w:val="555555"/>
          <w:sz w:val="20"/>
          <w:szCs w:val="20"/>
        </w:rPr>
        <w:t xml:space="preserve"> vezes o fator de mercado </w:t>
      </w:r>
      <w:r>
        <w:rPr>
          <w:b/>
          <w:bCs/>
          <w:color w:val="555555"/>
          <w:sz w:val="20"/>
          <w:szCs w:val="20"/>
        </w:rPr>
        <w:t xml:space="preserve">"MKTₜ"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"s"</w:t>
      </w:r>
      <w:r>
        <w:rPr>
          <w:color w:val="555555"/>
          <w:sz w:val="20"/>
          <w:szCs w:val="20"/>
        </w:rPr>
        <w:t xml:space="preserve"> vezes o fator tamanho </w:t>
      </w:r>
      <w:r>
        <w:rPr>
          <w:b/>
          <w:bCs/>
          <w:color w:val="555555"/>
          <w:sz w:val="20"/>
          <w:szCs w:val="20"/>
        </w:rPr>
        <w:t xml:space="preserve">"SMBₜ"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"h"</w:t>
      </w:r>
      <w:r>
        <w:rPr>
          <w:color w:val="555555"/>
          <w:sz w:val="20"/>
          <w:szCs w:val="20"/>
        </w:rPr>
        <w:t xml:space="preserve"> vezes o fator valor </w:t>
      </w:r>
      <w:r>
        <w:rPr>
          <w:b/>
          <w:bCs/>
          <w:color w:val="555555"/>
          <w:sz w:val="20"/>
          <w:szCs w:val="20"/>
        </w:rPr>
        <w:t xml:space="preserve">"HMLₜ"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"w"</w:t>
      </w:r>
      <w:r>
        <w:rPr>
          <w:color w:val="555555"/>
          <w:sz w:val="20"/>
          <w:szCs w:val="20"/>
        </w:rPr>
        <w:t xml:space="preserve"> vezes o fator momentum </w:t>
      </w:r>
      <w:r>
        <w:rPr>
          <w:b/>
          <w:bCs/>
          <w:color w:val="555555"/>
          <w:sz w:val="20"/>
          <w:szCs w:val="20"/>
        </w:rPr>
        <w:t xml:space="preserve">"WMLₜ"</w:t>
      </w:r>
      <w:r>
        <w:rPr>
          <w:color w:val="555555"/>
          <w:sz w:val="20"/>
          <w:szCs w:val="20"/>
        </w:rPr>
        <w:t xml:space="preserve">, mais </w:t>
      </w:r>
      <w:r>
        <w:rPr>
          <w:b/>
          <w:bCs/>
          <w:color w:val="555555"/>
          <w:sz w:val="20"/>
          <w:szCs w:val="20"/>
        </w:rPr>
        <w:t xml:space="preserve">"l"</w:t>
      </w:r>
      <w:r>
        <w:rPr>
          <w:color w:val="555555"/>
          <w:sz w:val="20"/>
          <w:szCs w:val="20"/>
        </w:rPr>
        <w:t xml:space="preserve"> vezes o fator iliquidez </w:t>
      </w:r>
      <w:r>
        <w:rPr>
          <w:b/>
          <w:bCs/>
          <w:color w:val="555555"/>
          <w:sz w:val="20"/>
          <w:szCs w:val="20"/>
        </w:rPr>
        <w:t xml:space="preserve">"IMLₜ"</w:t>
      </w:r>
      <w:r>
        <w:rPr>
          <w:color w:val="555555"/>
          <w:sz w:val="20"/>
          <w:szCs w:val="20"/>
        </w:rPr>
        <w:t xml:space="preserve">, mais o erro </w:t>
      </w:r>
      <w:r>
        <w:rPr>
          <w:b/>
          <w:bCs/>
          <w:color w:val="555555"/>
          <w:sz w:val="20"/>
          <w:szCs w:val="20"/>
        </w:rPr>
        <w:t xml:space="preserve">"εₜ"</w:t>
      </w:r>
      <w:r>
        <w:rPr>
          <w:color w:val="555555"/>
          <w:sz w:val="20"/>
          <w:szCs w:val="20"/>
        </w:rPr>
        <w:t xml:space="preserve">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separa quanto do ganho vem de fatores já conhecidos e quanto é contribuição própria do Score, que é o alfa.</w:t>
      </w:r>
    </w:p>
    <w:p>
      <w:pPr>
        <w:keepNext/>
        <w:keepLines/>
        <w:shd w:fill="F4F1E6" w:color="auto" w:val="clear"/>
        <w:spacing w:after="8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IC = (1 / T) · Σₜ ρₜ(Sᵢ,ₜ ; Retᵢ,ₜ₊₁)</w:t>
      </w:r>
    </w:p>
    <w:p>
      <w:pPr>
        <w:keepNext/>
        <w:keepLines/>
        <w:spacing w:after="60" w:line="276"/>
        <w:jc w:val="both"/>
      </w:pPr>
      <w:r>
        <w:rPr>
          <w:b/>
          <w:bCs/>
          <w:color w:val="555555"/>
          <w:sz w:val="20"/>
          <w:szCs w:val="20"/>
        </w:rPr>
        <w:t xml:space="preserve">Leitura: </w:t>
      </w:r>
      <w:r>
        <w:rPr>
          <w:color w:val="555555"/>
          <w:sz w:val="20"/>
          <w:szCs w:val="20"/>
        </w:rPr>
        <w:t xml:space="preserve">o coeficiente de informação </w:t>
      </w:r>
      <w:r>
        <w:rPr>
          <w:b/>
          <w:bCs/>
          <w:color w:val="555555"/>
          <w:sz w:val="20"/>
          <w:szCs w:val="20"/>
        </w:rPr>
        <w:t xml:space="preserve">"IC"</w:t>
      </w:r>
      <w:r>
        <w:rPr>
          <w:color w:val="555555"/>
          <w:sz w:val="20"/>
          <w:szCs w:val="20"/>
        </w:rPr>
        <w:t xml:space="preserve"> é igual a </w:t>
      </w:r>
      <w:r>
        <w:rPr>
          <w:b/>
          <w:bCs/>
          <w:color w:val="555555"/>
          <w:sz w:val="20"/>
          <w:szCs w:val="20"/>
        </w:rPr>
        <w:t xml:space="preserve">"1"</w:t>
      </w:r>
      <w:r>
        <w:rPr>
          <w:color w:val="555555"/>
          <w:sz w:val="20"/>
          <w:szCs w:val="20"/>
        </w:rPr>
        <w:t xml:space="preserve"> dividido por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vezes a soma, em cada mês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, da correlação de postos </w:t>
      </w:r>
      <w:r>
        <w:rPr>
          <w:b/>
          <w:bCs/>
          <w:color w:val="555555"/>
          <w:sz w:val="20"/>
          <w:szCs w:val="20"/>
        </w:rPr>
        <w:t xml:space="preserve">"ρₜ"</w:t>
      </w:r>
      <w:r>
        <w:rPr>
          <w:color w:val="555555"/>
          <w:sz w:val="20"/>
          <w:szCs w:val="20"/>
        </w:rPr>
        <w:t xml:space="preserve"> entre o Score </w:t>
      </w:r>
      <w:r>
        <w:rPr>
          <w:b/>
          <w:bCs/>
          <w:color w:val="555555"/>
          <w:sz w:val="20"/>
          <w:szCs w:val="20"/>
        </w:rPr>
        <w:t xml:space="preserve">"Sᵢ,ₜ"</w:t>
      </w:r>
      <w:r>
        <w:rPr>
          <w:color w:val="555555"/>
          <w:sz w:val="20"/>
          <w:szCs w:val="20"/>
        </w:rPr>
        <w:t xml:space="preserve"> de cada ação </w:t>
      </w:r>
      <w:r>
        <w:rPr>
          <w:b/>
          <w:bCs/>
          <w:color w:val="555555"/>
          <w:sz w:val="20"/>
          <w:szCs w:val="20"/>
        </w:rPr>
        <w:t xml:space="preserve">"i"</w:t>
      </w:r>
      <w:r>
        <w:rPr>
          <w:color w:val="555555"/>
          <w:sz w:val="20"/>
          <w:szCs w:val="20"/>
        </w:rPr>
        <w:t xml:space="preserve"> e o retorno </w:t>
      </w:r>
      <w:r>
        <w:rPr>
          <w:b/>
          <w:bCs/>
          <w:color w:val="555555"/>
          <w:sz w:val="20"/>
          <w:szCs w:val="20"/>
        </w:rPr>
        <w:t xml:space="preserve">"Retᵢ,ₜ₊₁"</w:t>
      </w:r>
      <w:r>
        <w:rPr>
          <w:color w:val="555555"/>
          <w:sz w:val="20"/>
          <w:szCs w:val="20"/>
        </w:rPr>
        <w:t xml:space="preserve"> no período seguinte; </w:t>
      </w:r>
      <w:r>
        <w:rPr>
          <w:b/>
          <w:bCs/>
          <w:color w:val="555555"/>
          <w:sz w:val="20"/>
          <w:szCs w:val="20"/>
        </w:rPr>
        <w:t xml:space="preserve">"T"</w:t>
      </w:r>
      <w:r>
        <w:rPr>
          <w:color w:val="555555"/>
          <w:sz w:val="20"/>
          <w:szCs w:val="20"/>
        </w:rPr>
        <w:t xml:space="preserve"> é o número de meses.</w:t>
      </w:r>
    </w:p>
    <w:p>
      <w:pPr>
        <w:keepLines/>
        <w:spacing w:after="160" w:line="276"/>
        <w:jc w:val="both"/>
      </w:pPr>
      <w:r>
        <w:rPr>
          <w:b/>
          <w:bCs/>
          <w:color w:val="555555"/>
          <w:sz w:val="20"/>
          <w:szCs w:val="20"/>
        </w:rPr>
        <w:t xml:space="preserve">Em linguagem simples: </w:t>
      </w:r>
      <w:r>
        <w:rPr>
          <w:i/>
          <w:iCs/>
          <w:color w:val="555555"/>
          <w:sz w:val="20"/>
          <w:szCs w:val="20"/>
        </w:rPr>
        <w:t xml:space="preserve">mostra se, em média, a ordem do ranking acerta a ordem dos retornos que vieram depois (Grinold; Kahn, 2000).</w:t>
      </w:r>
    </w:p>
    <w:p>
      <w:pPr>
        <w:pStyle w:val="Heading2"/>
        <w:keepNext/>
        <w:keepLines/>
      </w:pPr>
      <w:r>
        <w:t xml:space="preserve">Controles contra o excesso de testes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Contagem de tentativas:</w:t>
      </w:r>
      <w:r>
        <w:t xml:space="preserve"> cada variação testada depois deste registro é contada.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Significância maior:</w:t>
      </w:r>
      <w:r>
        <w:t xml:space="preserve"> estatística t mínima de 3, e não 2 (Harvey; Liu; Zhu, 2016).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Sharpe deflacionado:</w:t>
      </w:r>
      <w:r>
        <w:t xml:space="preserve"> desconta a sorte esperada pelo número de tentativas (Bailey; López de Prado, 2014).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Probabilidade de sobreajuste:</w:t>
      </w:r>
      <w:r>
        <w:t xml:space="preserve"> por validação cruzada combinatória (Bailey et al., 2017; López de Prado, 2018).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Comparação de variações:</w:t>
      </w:r>
      <w:r>
        <w:t xml:space="preserve"> teste de realidade de White (2000) ou de Hansen (2005).</w:t>
      </w:r>
    </w:p>
    <w:p>
      <w:pPr>
        <w:pStyle w:val="Heading2"/>
        <w:keepNext/>
        <w:keepLines/>
      </w:pPr>
      <w:r>
        <w:t xml:space="preserve">Conferência do EM Score</w:t>
      </w:r>
    </w:p>
    <w:p>
      <w:pPr>
        <w:spacing w:after="120" w:line="300"/>
        <w:jc w:val="both"/>
      </w:pPr>
      <w:r>
        <w:t xml:space="preserve">O relatório do teste mostra, por setor, se o EM Score antecipou recuperação judicial, falência ou cancelamento de registro em 12 e 24 meses. Os eventos vêm dos dados da CVM. É uma conferência do modelo, não um ajuste: se algum setor falhar, a exclusão entra numa versão nova, contada como tentativa.</w:t>
      </w:r>
    </w:p>
    <w:p>
      <w:pPr>
        <w:pStyle w:val="Heading1"/>
        <w:keepNext/>
        <w:keepLines/>
        <w:spacing w:before="360"/>
      </w:pPr>
      <w:r>
        <w:t xml:space="preserve">7. Critérios para publicar</w:t>
      </w:r>
    </w:p>
    <w:p>
      <w:pPr>
        <w:spacing w:after="120" w:line="300"/>
        <w:jc w:val="both"/>
      </w:pPr>
      <w:r>
        <w:t xml:space="preserve">O ranking só vai para os assinantes se passar em </w:t>
      </w:r>
      <w:r>
        <w:rPr>
          <w:b/>
          <w:bCs/>
        </w:rPr>
        <w:t xml:space="preserve">todos</w:t>
      </w:r>
      <w:r>
        <w:t xml:space="preserve"> os critérios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Estatística t do Score (Fama-MacBeth)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 ou igual a 3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Alfa do quintil do topo menos o de baixo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positivo, com t ≥ 2, contra os 5 fatores do NEFIN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Sharpe deflacionado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acima de 95%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Probabilidade de sobreajuste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abaixo de 20%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Período guardado (36 meses)</w:t>
            </w:r>
          </w:p>
        </w:tc>
        <w:tc>
          <w:tcPr>
            <w:tcW w:type="dxa" w:w="4500"/>
            <w:tcBorders>
              <w:top w:val="single" w:color="BFB8A3" w:sz="4"/>
              <w:left w:val="single" w:color="BFB8A3" w:sz="4"/>
              <w:bottom w:val="single" w:color="BFB8A3" w:sz="4"/>
              <w:right w:val="single" w:color="BFB8A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quintil do topo à frente do Ibovespa depois dos custos</w:t>
            </w:r>
          </w:p>
        </w:tc>
      </w:tr>
    </w:tbl>
    <w:p>
      <w:pPr>
        <w:spacing w:after="120" w:line="300"/>
        <w:jc w:val="both"/>
      </w:pPr>
      <w:r>
        <w:t xml:space="preserve">Enquanto não passar, a tela do Radar mostra "Ranking em calibração".</w:t>
      </w:r>
    </w:p>
    <w:p>
      <w:pPr>
        <w:pStyle w:val="Heading2"/>
        <w:keepNext/>
        <w:keepLines/>
        <w:pageBreakBefore/>
      </w:pPr>
      <w:r>
        <w:t xml:space="preserve">Carteira do Radar: faixa de manutenção</w:t>
      </w:r>
    </w:p>
    <w:p>
      <w:pPr>
        <w:spacing w:after="120" w:line="300"/>
        <w:jc w:val="both"/>
      </w:pPr>
      <w:r>
        <w:t xml:space="preserve">Novy-Marx e Velikov (2016) mostram que estratégias que trocam mais de 50% da carteira por mês costumam perder o ganho para os custos. A técnica mais eficaz para reduzir esse custo é exigir mais para entrar do que para ficar.</w:t>
      </w:r>
    </w:p>
    <w:p>
      <w:pPr>
        <w:spacing w:after="120" w:line="300"/>
        <w:jc w:val="both"/>
      </w:pPr>
      <w:r>
        <w:t xml:space="preserve">Na carteira do Radar, a regra é esta: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Entrada:</w:t>
      </w:r>
      <w:r>
        <w:t xml:space="preserve"> a ação entra quando chega aos 20% melhores do Score do mês.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Permanência:</w:t>
      </w:r>
      <w:r>
        <w:t xml:space="preserve"> a ação fica enquanto estiver entre os 40% melhores.</w:t>
      </w:r>
    </w:p>
    <w:p>
      <w:pPr>
        <w:pStyle w:val="ListParagraph"/>
        <w:numPr>
          <w:ilvl w:val="0"/>
          <w:numId w:val="3"/>
        </w:numPr>
        <w:spacing w:after="60" w:line="280"/>
        <w:jc w:val="both"/>
      </w:pPr>
      <w:r>
        <w:rPr>
          <w:b/>
          <w:bCs/>
        </w:rPr>
        <w:t xml:space="preserve">Saída:</w:t>
      </w:r>
      <w:r>
        <w:t xml:space="preserve"> a ação sai quando cai abaixo dos 40% melhores.</w:t>
      </w:r>
    </w:p>
    <w:p>
      <w:pPr>
        <w:spacing w:after="120" w:line="300"/>
        <w:jc w:val="both"/>
      </w:pPr>
      <w:r>
        <w:t xml:space="preserve">Assim, uma ação que oscila perto da linha de corte não entra e sai todo mês. A nota de cada ação não muda; só a regra da carteira.</w:t>
      </w:r>
    </w:p>
    <w:p>
      <w:pPr>
        <w:spacing w:after="120" w:line="300"/>
        <w:jc w:val="both"/>
      </w:pPr>
      <w:r>
        <w:t xml:space="preserve">Depois de aprovado, o Score segue acompanhado. Se o coeficiente de informação dos últimos 12 meses ficar negativo, a tela volta para "Ranking em calibração" até a revisão.</w:t>
      </w:r>
    </w:p>
    <w:p>
      <w:pPr>
        <w:pStyle w:val="Heading1"/>
        <w:keepNext/>
        <w:keepLines/>
        <w:spacing w:before="360"/>
      </w:pPr>
      <w:r>
        <w:t xml:space="preserve">8. Próximos passos</w:t>
      </w:r>
    </w:p>
    <w:p>
      <w:pPr>
        <w:spacing w:after="120" w:line="300"/>
        <w:jc w:val="both"/>
      </w:pPr>
      <w:r>
        <w:t xml:space="preserve">A construção segue esta ordem: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de cotações:</w:t>
      </w:r>
      <w:r>
        <w:t xml:space="preserve"> coletor das cotações da B3 de 2006 até hoje, com ajuste por proventos e desdobramentos.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Histórico das demonstrações:</w:t>
      </w:r>
      <w:r>
        <w:t xml:space="preserve"> DFP e ITR da CVM desde 2011, com a data de entrega de cada documento.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Fatores e juros:</w:t>
      </w:r>
      <w:r>
        <w:t xml:space="preserve"> fatores diários do NEFIN, NTN-B e Focus.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Motor de cálculo:</w:t>
      </w:r>
      <w:r>
        <w:t xml:space="preserve"> as sete camadas, com cada subitem conferido em empresas conhecidas.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Teste histórico:</w:t>
      </w:r>
      <w:r>
        <w:t xml:space="preserve"> rodado uma vez, conforme este registro, com relatório completo.</w:t>
      </w:r>
    </w:p>
    <w:p>
      <w:pPr>
        <w:pStyle w:val="ListParagraph"/>
        <w:numPr>
          <w:ilvl w:val="0"/>
          <w:numId w:val="5"/>
        </w:numPr>
        <w:spacing w:after="60" w:line="280"/>
        <w:jc w:val="both"/>
      </w:pPr>
      <w:r>
        <w:rPr>
          <w:b/>
          <w:bCs/>
        </w:rPr>
        <w:t xml:space="preserve">Decisão:</w:t>
      </w:r>
      <w:r>
        <w:t xml:space="preserve"> publicar se passar nos critérios; se não, revisar como nova versão.</w:t>
      </w:r>
    </w:p>
    <w:p>
      <w:pPr>
        <w:pStyle w:val="Heading1"/>
        <w:keepNext/>
        <w:keepLines/>
        <w:spacing w:before="360"/>
      </w:pPr>
      <w:r>
        <w:t xml:space="preserve">9. Referências</w:t>
      </w:r>
    </w:p>
    <w:p>
      <w:pPr>
        <w:spacing w:after="120" w:line="300"/>
        <w:jc w:val="both"/>
      </w:pPr>
      <w:r>
        <w:t xml:space="preserve">Lista no padrão ABNT (NBR 6023).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Financial ratios, discriminant analysis and the prediction of corporate bankruptcy.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23, n. 4, p. 589-609, 1968.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ALTMAN, E. I. An emerging market credit scoring system for corporate bonds. </w:t>
      </w:r>
      <w:r>
        <w:rPr>
          <w:b/>
          <w:bCs/>
          <w:sz w:val="19"/>
          <w:szCs w:val="19"/>
        </w:rPr>
        <w:t xml:space="preserve">Emerging Markets Review</w:t>
      </w:r>
      <w:r>
        <w:rPr>
          <w:sz w:val="19"/>
          <w:szCs w:val="19"/>
        </w:rPr>
        <w:t xml:space="preserve">, v. 6, n. 4, p. 311-323,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AMIHUD, Y. Illiquidity and stock returns: cross-section and time-series effects. </w:t>
      </w:r>
      <w:r>
        <w:rPr>
          <w:b/>
          <w:bCs/>
          <w:sz w:val="19"/>
          <w:szCs w:val="19"/>
        </w:rPr>
        <w:t xml:space="preserve">Journal of Financial Markets</w:t>
      </w:r>
      <w:r>
        <w:rPr>
          <w:sz w:val="19"/>
          <w:szCs w:val="19"/>
        </w:rPr>
        <w:t xml:space="preserve">, v. 5, n. 1, p. 31-56, 2002.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ANG, A.; HODRICK, R. J.; XING, Y.; ZHANG, X. The cross-section of volatility and expected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61, n. 1, p. 259-299,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FRAZZINI, A.; PEDERSEN, L. H. Quality minus junk.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24, n. 1, p. 34-112, 2019.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ASNESS, C. S.; MOSKOWITZ, T. J.; PEDERSEN, L. H. Value and momentum everywhere.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68, n. 3, p. 929-985,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Pseudo-mathematics and financial charlatanism: the effects of backtest overfitting on out-of-sample performance. </w:t>
      </w:r>
      <w:r>
        <w:rPr>
          <w:b/>
          <w:bCs/>
          <w:sz w:val="19"/>
          <w:szCs w:val="19"/>
        </w:rPr>
        <w:t xml:space="preserve">Notices of the American Mathematical Society</w:t>
      </w:r>
      <w:r>
        <w:rPr>
          <w:sz w:val="19"/>
          <w:szCs w:val="19"/>
        </w:rPr>
        <w:t xml:space="preserve">, v. 61, n. 5, p. 458-471,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BORWEIN, J. M.; LÓPEZ DE PRADO, M.; ZHU, Q. J. The probability of backtest overfitting. </w:t>
      </w:r>
      <w:r>
        <w:rPr>
          <w:b/>
          <w:bCs/>
          <w:sz w:val="19"/>
          <w:szCs w:val="19"/>
        </w:rPr>
        <w:t xml:space="preserve">Journal of Computational Finance</w:t>
      </w:r>
      <w:r>
        <w:rPr>
          <w:sz w:val="19"/>
          <w:szCs w:val="19"/>
        </w:rPr>
        <w:t xml:space="preserve">, v. 20, n. 4, p. 39-69, 2017.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BAILEY, D. H.; LÓPEZ DE PRADO, M. The deflated Sharpe ratio: correcting for selection bias, backtest overfitting and non-normality. </w:t>
      </w:r>
      <w:r>
        <w:rPr>
          <w:b/>
          <w:bCs/>
          <w:sz w:val="19"/>
          <w:szCs w:val="19"/>
        </w:rPr>
        <w:t xml:space="preserve">The Journal of Portfolio Management</w:t>
      </w:r>
      <w:r>
        <w:rPr>
          <w:sz w:val="19"/>
          <w:szCs w:val="19"/>
        </w:rPr>
        <w:t xml:space="preserve">, v. 40, n. 5, p. 94-107,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BAKER, M.; BRADLEY, B.; WURGLER, J. Benchmarks as limits to arbitrage: understanding the low-volatility anomaly.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67, n. 1, p. 40-54,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BARROSO, P.; SANTA-CLARA, P. Momentum has its moments.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116, n. 1, p. 111-120, 2015.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BENEISH, M. D. The detection of earnings manipulation.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55, n. 5, p. 24-36, 1999.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BERNARD, V. L.; THOMAS, J. K. Post-earnings-announcement drift: delayed price response or risk premium?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27, suplemento, p. 1-36, 1989.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BESSEMBINDER, H.; CHEN, T.-F.; CHOI, G.; WEI, K. C. J. Long-term shareholder returns: evidence from 64,000 global stocks.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79, n. 3, p. 33-63, 2023.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BORTOLUZZO, A. B.; PISTILI, G. N.; BORTOLUZZO, M. M. Analyzing the quality factor for Brazil. </w:t>
      </w:r>
      <w:r>
        <w:rPr>
          <w:b/>
          <w:bCs/>
          <w:sz w:val="19"/>
          <w:szCs w:val="19"/>
        </w:rPr>
        <w:t xml:space="preserve">Revista Brasileira de Finanças</w:t>
      </w:r>
      <w:r>
        <w:rPr>
          <w:sz w:val="19"/>
          <w:szCs w:val="19"/>
        </w:rPr>
        <w:t xml:space="preserve">, v. 19, n. 3, p. 31-52, 2021.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BROCK, W.; LAKONISHOK, J.; LEBARON, B. Simple technical trading rules and the stochastic properties of stock returns.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47, n. 5, p. 1731-1764, 1992.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CAKICI, N.; TANG, Y.; YAN, A. Do the size, value, and momentum factors drive stock returns in emerging markets? </w:t>
      </w:r>
      <w:r>
        <w:rPr>
          <w:b/>
          <w:bCs/>
          <w:sz w:val="19"/>
          <w:szCs w:val="19"/>
        </w:rPr>
        <w:t xml:space="preserve">Journal of International Money and Finance</w:t>
      </w:r>
      <w:r>
        <w:rPr>
          <w:sz w:val="19"/>
          <w:szCs w:val="19"/>
        </w:rPr>
        <w:t xml:space="preserve">, v. 69, p. 179-204,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CAMPBELL, J. Y.; HILSCHER, J.; SZILAGYI, J. In search of distress risk.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63, n. 6, p. 2899-2939, 2008.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CARHART, M. M. On persistence in mutual fund performance.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52, n. 1, p. 57-82, 1997.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JEGADEESH, N.; LAKONISHOK, J. Momentum strategies.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51, n. 5, p. 1681-1713,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CHAN, L. K. C.; KARCESKI, J.; LAKONISHOK, J. The level and persistence of growth rates.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58, n. 2, p. 643-684, 2003.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CIVILETTI, F.; CAMPANI, C. H.; ROQUETE, R. Carteiras igualmente ponderadas e "efeito momentum": uma combinação interessante para investidores não sofisticados? </w:t>
      </w:r>
      <w:r>
        <w:rPr>
          <w:b/>
          <w:bCs/>
          <w:sz w:val="19"/>
          <w:szCs w:val="19"/>
        </w:rPr>
        <w:t xml:space="preserve">Brazilian Business Review</w:t>
      </w:r>
      <w:r>
        <w:rPr>
          <w:sz w:val="19"/>
          <w:szCs w:val="19"/>
        </w:rPr>
        <w:t xml:space="preserve">, v. 17, n. 5, p. 506-522,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DA, Z.; GURUN, U. G.; WARACHKA, M. Frog in the pan: continuous information and momentum.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27, n. 7, p. 2171-2218,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DANIEL, K.; MOSKOWITZ, T. J. Momentum crashes.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122, n. 2, p. 221-247,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DEMIGUEL, V.; GARLAPPI, L.; UPPAL, R. Optimal versus naive diversification: how inefficient is the 1/N portfolio strategy?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22, n. 5, p. 1915-1953, 2009.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FAMA, E. F.; MACBETH, J. D. Risk, return, and equilibrium: empirical tests. </w:t>
      </w:r>
      <w:r>
        <w:rPr>
          <w:b/>
          <w:bCs/>
          <w:sz w:val="19"/>
          <w:szCs w:val="19"/>
        </w:rPr>
        <w:t xml:space="preserve">Journal of Political Economy</w:t>
      </w:r>
      <w:r>
        <w:rPr>
          <w:sz w:val="19"/>
          <w:szCs w:val="19"/>
        </w:rPr>
        <w:t xml:space="preserve">, v. 81, n. 3, p. 607-636, 1973.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FRAZZINI, A.; PEDERSEN, L. H. Betting against beta.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111, n. 1, p. 1-25, 2014.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GEORGE, T. J.; HWANG, C.-Y. The 52-week high and momentum investing.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59, n. 5, p. 2145-2176, 2004.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GORDON, M. J. </w:t>
      </w:r>
      <w:r>
        <w:rPr>
          <w:b/>
          <w:bCs/>
          <w:sz w:val="19"/>
          <w:szCs w:val="19"/>
        </w:rPr>
        <w:t xml:space="preserve">The investment, financing, and valuation of the corporation</w:t>
      </w:r>
      <w:r>
        <w:rPr>
          <w:sz w:val="19"/>
          <w:szCs w:val="19"/>
        </w:rPr>
        <w:t xml:space="preserve">. Homewood: Richard D. Irwin, 1962.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CARLISLE, T. E. </w:t>
      </w:r>
      <w:r>
        <w:rPr>
          <w:b/>
          <w:bCs/>
          <w:sz w:val="19"/>
          <w:szCs w:val="19"/>
        </w:rPr>
        <w:t xml:space="preserve">Quantitative value</w:t>
      </w:r>
      <w:r>
        <w:rPr>
          <w:sz w:val="19"/>
          <w:szCs w:val="19"/>
        </w:rPr>
        <w:t xml:space="preserve">: a practitioner's guide to automating intelligent investment and eliminating behavioral errors. Hoboken: Wiley,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GRAY, W. R.; VOGEL, J. R. </w:t>
      </w:r>
      <w:r>
        <w:rPr>
          <w:b/>
          <w:bCs/>
          <w:sz w:val="19"/>
          <w:szCs w:val="19"/>
        </w:rPr>
        <w:t xml:space="preserve">Quantitative momentum</w:t>
      </w:r>
      <w:r>
        <w:rPr>
          <w:sz w:val="19"/>
          <w:szCs w:val="19"/>
        </w:rPr>
        <w:t xml:space="preserve">: a practitioner's guide to building a momentum-based stock selection system. Hoboken: Wiley,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GREENBLATT, J. </w:t>
      </w:r>
      <w:r>
        <w:rPr>
          <w:b/>
          <w:bCs/>
          <w:sz w:val="19"/>
          <w:szCs w:val="19"/>
        </w:rPr>
        <w:t xml:space="preserve">The little book that beats the market</w:t>
      </w:r>
      <w:r>
        <w:rPr>
          <w:sz w:val="19"/>
          <w:szCs w:val="19"/>
        </w:rPr>
        <w:t xml:space="preserve">. Hoboken: Wiley, 2006.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GRINOLD, R. C.; KAHN, R. N. </w:t>
      </w:r>
      <w:r>
        <w:rPr>
          <w:b/>
          <w:bCs/>
          <w:sz w:val="19"/>
          <w:szCs w:val="19"/>
        </w:rPr>
        <w:t xml:space="preserve">Active portfolio management</w:t>
      </w:r>
      <w:r>
        <w:rPr>
          <w:sz w:val="19"/>
          <w:szCs w:val="19"/>
        </w:rPr>
        <w:t xml:space="preserve">: a quantitative approach for producing superior returns and controlling risk. 2. ed. New York: McGraw-Hill,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HANSEN, P. R. A test for superior predictive ability. </w:t>
      </w:r>
      <w:r>
        <w:rPr>
          <w:b/>
          <w:bCs/>
          <w:sz w:val="19"/>
          <w:szCs w:val="19"/>
        </w:rPr>
        <w:t xml:space="preserve">Journal of Business &amp; Economic Statistics</w:t>
      </w:r>
      <w:r>
        <w:rPr>
          <w:sz w:val="19"/>
          <w:szCs w:val="19"/>
        </w:rPr>
        <w:t xml:space="preserve">, v. 23, n. 4, p. 365-380,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HARVEY, C. R.; LIU, Y.; ZHU, H. … and the cross-section of expected returns.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5-68,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HOU, K.; XUE, C.; ZHANG, L. Replicating anomalies.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33, n. 5, p. 2019-2133, 2020.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JEGADEESH, N.; TITMAN, S. Returns to buying winners and selling losers: implications for stock market efficiency.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48, n. 1, p. 65-91,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LEE, C. M. C.; SWAMINATHAN, B. Price momentum and trading volume.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55, n. 5, p. 2017-2069,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LEV, B.; THIAGARAJAN, S. R. Fundamental information analysis.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31, n. 2, p. 190-215, 1993.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LÓPEZ DE PRADO, M. </w:t>
      </w:r>
      <w:r>
        <w:rPr>
          <w:b/>
          <w:bCs/>
          <w:sz w:val="19"/>
          <w:szCs w:val="19"/>
        </w:rPr>
        <w:t xml:space="preserve">Advances in financial machine learning</w:t>
      </w:r>
      <w:r>
        <w:rPr>
          <w:sz w:val="19"/>
          <w:szCs w:val="19"/>
        </w:rPr>
        <w:t xml:space="preserve">. Hoboken: Wiley, 2018.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LOUGHRAN, T.; WELLMAN, J. W. New evidence on the relation between the enterprise multiple and average stock returns. </w:t>
      </w:r>
      <w:r>
        <w:rPr>
          <w:b/>
          <w:bCs/>
          <w:sz w:val="19"/>
          <w:szCs w:val="19"/>
        </w:rPr>
        <w:t xml:space="preserve">Journal of Financial and Quantitative Analysis</w:t>
      </w:r>
      <w:r>
        <w:rPr>
          <w:sz w:val="19"/>
          <w:szCs w:val="19"/>
        </w:rPr>
        <w:t xml:space="preserve">, v. 46, n. 6, p. 1629-1650, 2011.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McLEAN, R. D.; PONTIFF, J. Does academic research destroy stock return predictability? </w:t>
      </w:r>
      <w:r>
        <w:rPr>
          <w:b/>
          <w:bCs/>
          <w:sz w:val="19"/>
          <w:szCs w:val="19"/>
        </w:rPr>
        <w:t xml:space="preserve">The Journal of Finance</w:t>
      </w:r>
      <w:r>
        <w:rPr>
          <w:sz w:val="19"/>
          <w:szCs w:val="19"/>
        </w:rPr>
        <w:t xml:space="preserve">, v. 71, n. 1, p. 5-32,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MOHANRAM, P. S. Separating winners from losers among low book-to-market stocks using financial statement analysis. </w:t>
      </w:r>
      <w:r>
        <w:rPr>
          <w:b/>
          <w:bCs/>
          <w:sz w:val="19"/>
          <w:szCs w:val="19"/>
        </w:rPr>
        <w:t xml:space="preserve">Review of Accounting Studies</w:t>
      </w:r>
      <w:r>
        <w:rPr>
          <w:sz w:val="19"/>
          <w:szCs w:val="19"/>
        </w:rPr>
        <w:t xml:space="preserve">, v. 10, n. 2, p. 133-170, 2005.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MOLODOVSKY, N.; MAY, C.; CHOTTINER, S. Common stock valuation: principles, tables and application. </w:t>
      </w:r>
      <w:r>
        <w:rPr>
          <w:b/>
          <w:bCs/>
          <w:sz w:val="19"/>
          <w:szCs w:val="19"/>
        </w:rPr>
        <w:t xml:space="preserve">Financial Analysts Journal</w:t>
      </w:r>
      <w:r>
        <w:rPr>
          <w:sz w:val="19"/>
          <w:szCs w:val="19"/>
        </w:rPr>
        <w:t xml:space="preserve">, v. 21, n. 2, p. 104-123, 1965.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NEFIN — CENTRO BRASILEIRO DE PESQUISA EM ECONOMIA FINANCEIRA DA USP. </w:t>
      </w:r>
      <w:r>
        <w:rPr>
          <w:b/>
          <w:bCs/>
          <w:sz w:val="19"/>
          <w:szCs w:val="19"/>
        </w:rPr>
        <w:t xml:space="preserve">Fatores de risco</w:t>
      </w:r>
      <w:r>
        <w:rPr>
          <w:sz w:val="19"/>
          <w:szCs w:val="19"/>
        </w:rPr>
        <w:t xml:space="preserve"> (mercado, tamanho, valor, momentum e iliquidez). São Paulo: USP. Disponível em: https://nefin.com.br/. Acesso em: 22 out. 2026.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NEWEY, W. K.; WEST, K. D. A simple, positive semi-definite, heteroskedasticity and autocorrelation consistent covariance matrix.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55, n. 3, p. 703-708, 1987.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Is momentum really momentum?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103, n. 3, p. 429-453, 2012.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The other side of value: the gross profitability premium. </w:t>
      </w:r>
      <w:r>
        <w:rPr>
          <w:b/>
          <w:bCs/>
          <w:sz w:val="19"/>
          <w:szCs w:val="19"/>
        </w:rPr>
        <w:t xml:space="preserve">Journal of Financial Economics</w:t>
      </w:r>
      <w:r>
        <w:rPr>
          <w:sz w:val="19"/>
          <w:szCs w:val="19"/>
        </w:rPr>
        <w:t xml:space="preserve">, v. 108, n. 1, p. 1-28, 2013.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 </w:t>
      </w:r>
      <w:r>
        <w:rPr>
          <w:b/>
          <w:bCs/>
          <w:sz w:val="19"/>
          <w:szCs w:val="19"/>
        </w:rPr>
        <w:t xml:space="preserve">Fundamentally, momentum is fundamental momentum</w:t>
      </w:r>
      <w:r>
        <w:rPr>
          <w:sz w:val="19"/>
          <w:szCs w:val="19"/>
        </w:rPr>
        <w:t xml:space="preserve">. Cambridge: National Bureau of Economic Research, 2015. (NBER Working Paper, 20984).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NOVY-MARX, R.; VELIKOV, M. A taxonomy of anomalies and their trading costs. </w:t>
      </w:r>
      <w:r>
        <w:rPr>
          <w:b/>
          <w:bCs/>
          <w:sz w:val="19"/>
          <w:szCs w:val="19"/>
        </w:rPr>
        <w:t xml:space="preserve">The Review of Financial Studies</w:t>
      </w:r>
      <w:r>
        <w:rPr>
          <w:sz w:val="19"/>
          <w:szCs w:val="19"/>
        </w:rPr>
        <w:t xml:space="preserve">, v. 29, n. 1, p. 104-147, 2016.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PIOTROSKI, J. D. Value investing: the use of historical financial statement information to separate winners from losers. </w:t>
      </w:r>
      <w:r>
        <w:rPr>
          <w:b/>
          <w:bCs/>
          <w:sz w:val="19"/>
          <w:szCs w:val="19"/>
        </w:rPr>
        <w:t xml:space="preserve">Journal of Accounting Research</w:t>
      </w:r>
      <w:r>
        <w:rPr>
          <w:sz w:val="19"/>
          <w:szCs w:val="19"/>
        </w:rPr>
        <w:t xml:space="preserve">, v. 38, suplemento, p. 1-41, 2000.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SLOAN, R. G. Do stock prices fully reflect information in accruals and cash flows about future earnings? </w:t>
      </w:r>
      <w:r>
        <w:rPr>
          <w:b/>
          <w:bCs/>
          <w:sz w:val="19"/>
          <w:szCs w:val="19"/>
        </w:rPr>
        <w:t xml:space="preserve">The Accounting Review</w:t>
      </w:r>
      <w:r>
        <w:rPr>
          <w:sz w:val="19"/>
          <w:szCs w:val="19"/>
        </w:rPr>
        <w:t xml:space="preserve">, v. 71, n. 3, p. 289-315, 1996.</w:t>
      </w:r>
    </w:p>
    <w:p>
      <w:pPr>
        <w:spacing w:after="40" w:line="240"/>
        <w:ind w:left="360" w:hanging="360"/>
        <w:jc w:val="both"/>
      </w:pPr>
      <w:r>
        <w:rPr>
          <w:sz w:val="19"/>
          <w:szCs w:val="19"/>
        </w:rPr>
        <w:t xml:space="preserve">WHITE, H. A reality check for data snooping. </w:t>
      </w:r>
      <w:r>
        <w:rPr>
          <w:b/>
          <w:bCs/>
          <w:sz w:val="19"/>
          <w:szCs w:val="19"/>
        </w:rPr>
        <w:t xml:space="preserve">Econometrica</w:t>
      </w:r>
      <w:r>
        <w:rPr>
          <w:sz w:val="19"/>
          <w:szCs w:val="19"/>
        </w:rPr>
        <w:t xml:space="preserve">, v. 68, n. 5, p. 1097-1126, 2000.</w:t>
      </w:r>
    </w:p>
    <w:sectPr>
      <w:headerReference w:type="default" r:id="rId6"/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 ·  Uso interno. Não é recomendação de investimento.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tabs>
        <w:tab w:val="right" w:pos="9000"/>
      </w:tabs>
    </w:pPr>
    <w:r>
      <w:drawing>
        <wp:inline distT="0" distB="0" distL="0" distR="0">
          <wp:extent cx="247650" cy="25717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7"/>
        <w:szCs w:val="17"/>
      </w:rPr>
      <w:t xml:space="preserve">   SOLIDUNS · Score Exponencial</w:t>
    </w:r>
    <w:r>
      <w:rPr>
        <w:color w:val="555555"/>
        <w:sz w:val="17"/>
        <w:szCs w:val="17"/>
      </w:rPr>
      <w:t xml:space="preserve">	Metodologia v1.0.3 — registro prévio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0"/>
      <w:outlineLvl w:val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2478a59443487a6c92c812d165c5cf42c8fd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d2478a59443487a6c92c812d165c5cf42c8fd5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Exponencial — metodologia v1.0.3 (registro prévio)</dc:title>
  <dc:creator>SOLIDUNS</dc:creator>
  <cp:lastModifiedBy>Un-named</cp:lastModifiedBy>
  <cp:revision>1</cp:revision>
  <dcterms:created xsi:type="dcterms:W3CDTF">2026-10-22T23:27:59.222Z</dcterms:created>
  <dcterms:modified xsi:type="dcterms:W3CDTF">2026-10-22T23:27:59.223Z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