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Resultado do teste histórico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Rodada única — protocolo v1.0.5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23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360"/>
      </w:pPr>
      <w:r>
        <w:t xml:space="preserve">1. Resultado</w:t>
      </w:r>
    </w:p>
    <w:p>
      <w:pPr>
        <w:spacing w:after="120" w:line="300"/>
        <w:jc w:val="both"/>
      </w:pPr>
      <w:r>
        <w:t xml:space="preserve">O teste rodou uma única vez, em 23/10/2026, com o código fixado no registro 5bce944 do repositório. </w:t>
      </w:r>
      <w:r>
        <w:rPr>
          <w:b/>
          <w:bCs/>
        </w:rPr>
        <w:t xml:space="preserve">O Score não passou nos critérios para publicar.</w:t>
      </w:r>
      <w:r>
        <w:t xml:space="preserve"> Passou em 1 dos 5.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2500"/>
        <w:gridCol w:w="1200"/>
      </w:tblGrid>
      <w:tr>
        <w:trPr>
          <w:cantSplit/>
          <w:tblHeader/>
        </w:trPr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Exigido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 ≥ 3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 = 1,07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Q5 − Q1 contra 5 fatores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t ≥ 2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0,59% ao mês; t = 1,40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 (Radar sobre o CDI)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acima de 95%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36,9%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13,6%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 (quintil do topo × Ibovespa)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à frente</w:t>
            </w:r>
          </w:p>
        </w:tc>
        <w:tc>
          <w:tcPr>
            <w:tcW w:type="dxa" w:w="2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+34,6% × +55,6%</w:t>
            </w:r>
          </w:p>
        </w:tc>
        <w:tc>
          <w:tcPr>
            <w:tcW w:type="dxa" w:w="1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</w:tbl>
    <w:p>
      <w:pPr>
        <w:spacing w:after="120" w:line="300"/>
        <w:jc w:val="both"/>
      </w:pPr>
      <w:r>
        <w:t xml:space="preserve">Pela metodologia, a tela do Radar continua com </w:t>
      </w:r>
      <w:r>
        <w:rPr>
          <w:b/>
          <w:bCs/>
        </w:rPr>
        <w:t xml:space="preserve">"Ranking em calibração"</w:t>
      </w:r>
      <w:r>
        <w:t xml:space="preserve">.</w:t>
      </w:r>
    </w:p>
    <w:p>
      <w:pPr>
        <w:pStyle w:val="Heading2"/>
        <w:keepNext/>
        <w:keepLines/>
      </w:pPr>
      <w:r>
        <w:t xml:space="preserve">R$ 1 investido em janeiro de 2013</w:t>
      </w:r>
    </w:p>
    <w:p>
      <w:pPr>
        <w:keepNext/>
        <w:jc w:val="center"/>
      </w:pPr>
      <w:r>
        <w:drawing>
          <wp:inline distT="0" distB="0" distL="0" distR="0">
            <wp:extent cx="5715000" cy="2667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t xml:space="preserve">Retornos depois dos custos, com pesos iguais. A faixa clara é o período guardado (set/2023 a ago/2026).</w:t>
      </w:r>
    </w:p>
    <w:p>
      <w:pPr>
        <w:pStyle w:val="Heading1"/>
        <w:keepNext/>
        <w:keepLines/>
        <w:pageBreakBefore/>
      </w:pPr>
      <w:r>
        <w:t xml:space="preserve">2. O que os números mostram</w:t>
      </w:r>
    </w:p>
    <w:p>
      <w:pPr>
        <w:pStyle w:val="Heading2"/>
        <w:keepNext/>
        <w:keepLines/>
      </w:pPr>
      <w:r>
        <w:t xml:space="preserve">O Score ordena, mas pouco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100"/>
        <w:gridCol w:w="1700"/>
        <w:gridCol w:w="1400"/>
      </w:tblGrid>
      <w:tr>
        <w:trPr>
          <w:cantSplit/>
          <w:tblHeader/>
        </w:trPr>
        <w:tc>
          <w:tcPr>
            <w:tcW w:type="dxa" w:w="3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Carteira (período principal)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Bruto ao mês</w:t>
            </w:r>
          </w:p>
        </w:tc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Líquido ao mês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Giro mensal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Quintil do topo (1 mês)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0,90%</w:t>
            </w:r>
          </w:p>
        </w:tc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0,15%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0,75%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26%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Quintil de baixo (1 mês)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0,51%</w:t>
            </w:r>
          </w:p>
        </w:tc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0,19%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0,31%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28%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Radar (faixa 20%/40%)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0,95%</w:t>
            </w:r>
          </w:p>
        </w:tc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0,08%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0,87%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Ibovespa (BOVA11)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0,73%</w:t>
            </w:r>
          </w:p>
        </w:tc>
        <w:tc>
          <w:tcPr>
            <w:tcW w:type="dxa" w:w="11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0,73%</w:t>
            </w:r>
          </w:p>
        </w:tc>
        <w:tc>
          <w:tcPr>
            <w:tcW w:type="dxa" w:w="1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 ordem acerta na média:</w:t>
      </w:r>
      <w:r>
        <w:t xml:space="preserve"> o quintil do topo rendeu 0,39 ponto ao mês a mais que o de baixo. O coeficiente de informação foi de 0,042, com t = 2,70.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Mas não com a força exigida:</w:t>
      </w:r>
      <w:r>
        <w:t xml:space="preserve"> a regressão de Fama-MacBeth deu t = 1,07, longe do mínimo de 3. O alfa de 0,59% ao mês não chegou a t = 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O Radar ficou à frente do Ibovespa:</w:t>
      </w:r>
      <w:r>
        <w:t xml:space="preserve"> 0,87% contra 0,73% ao mês no período principal, já descontados os custos. Mas o próprio Ibovespa rendeu perto do CDI de 2013 a 2023, e o Sharpe do Radar sobre o CDI ficou perto de zero.</w:t>
      </w:r>
    </w:p>
    <w:p>
      <w:pPr>
        <w:pStyle w:val="Heading2"/>
        <w:keepNext/>
        <w:keepLines/>
      </w:pPr>
      <w:r>
        <w:t xml:space="preserve">O período guardado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Quintil do topo:</w:t>
      </w:r>
      <w:r>
        <w:t xml:space="preserve"> +34,6% em 36 meses, depois dos custos. Radar: +35,5%.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Ibovespa:</w:t>
      </w:r>
      <w:r>
        <w:t xml:space="preserve"> +55,6%, puxado pelas maiores empresas.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Ação típica do universo:</w:t>
      </w:r>
      <w:r>
        <w:t xml:space="preserve"> +12,8% antes dos custos (média simples). O Score escolheu bem dentro do universo, mas perdeu para o índice das grandes.</w:t>
      </w:r>
    </w:p>
    <w:p>
      <w:pPr>
        <w:pStyle w:val="Heading2"/>
        <w:keepNext/>
        <w:keepLines/>
      </w:pPr>
      <w:r>
        <w:t xml:space="preserve">Outras conferências (fora dos critérios)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Custos em dobro:</w:t>
      </w:r>
      <w:r>
        <w:t xml:space="preserve"> o Radar cai de 0,87% para 0,79% ao mês. A conclusão não muda.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Prazos de 3, 6 e 12 meses:</w:t>
      </w:r>
      <w:r>
        <w:t xml:space="preserve"> mesma ordem dos quintis, com custos menores.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Pilar Momentum sozinho, de 2007 em diante:</w:t>
      </w:r>
      <w:r>
        <w:t xml:space="preserve"> t = 2,44; coeficiente de informação 0,051, com t = 4,44.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Cargas nos fatores:</w:t>
      </w:r>
      <w:r>
        <w:t xml:space="preserve"> o quintil do topo menos o de baixo pende para empresas grandes e de crescimento (cargas negativas em tamanho e valor).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EM Score:</w:t>
      </w:r>
      <w:r>
        <w:t xml:space="preserve"> 12 meses antes de recuperações judiciais e falências, 6 de 7 empresas estavam na zona de perigo.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Teste SPA de Hansen:</w:t>
      </w:r>
      <w:r>
        <w:t xml:space="preserve"> nenhuma das 21 carteiras bateu o Ibovespa com folga estatística (valor p = 0,23).</w:t>
      </w:r>
    </w:p>
    <w:p>
      <w:pPr>
        <w:pStyle w:val="Heading1"/>
        <w:keepNext/>
        <w:keepLines/>
        <w:pageBreakBefore/>
        <w:spacing w:before="360"/>
      </w:pPr>
      <w:r>
        <w:t xml:space="preserve">3. O que a metodologia manda fazer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Não publicar:</w:t>
      </w:r>
      <w:r>
        <w:t xml:space="preserve"> o ranking não vai para os assinantes. A tela segue "Ranking em calibração".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O período guardado foi usado:</w:t>
      </w:r>
      <w:r>
        <w:t xml:space="preserve"> ele não serve mais para conferir uma versão nova. Uma conferência nova só pode vir de meses que ainda não aconteceram.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Revisão conta como tentativa:</w:t>
      </w:r>
      <w:r>
        <w:t xml:space="preserve"> qualquer mudança vira versão nova. O número de tentativas sobe e o Sharpe deflacionado fica mais exigente.</w:t>
      </w:r>
    </w:p>
    <w:p>
      <w:pPr>
        <w:pStyle w:val="Heading2"/>
        <w:keepNext/>
        <w:keepLines/>
      </w:pPr>
      <w:r>
        <w:t xml:space="preserve">Caminhos possíveis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Acompanhar em tempo real (recomendado):</w:t>
      </w:r>
      <w:r>
        <w:t xml:space="preserve"> manter a v1.0.5 sem mudanças e calcular o Score todo mês daqui em diante. Esses meses são uma conferência limpa, sem nenhuma escolha feita olhando para eles. Reavaliar com 24 a 36 meses de dados novos.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Revisar agora como v1.1:</w:t>
      </w:r>
      <w:r>
        <w:t xml:space="preserve"> por exemplo, pesos pelo valor de mercado, para competir com o Ibovespa nas mesmas condições. Toda revisão escolhida depois de ver o resultado tem risco de se ajustar ao passado, e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Usar o Score só como ferramenta interna:</w:t>
      </w:r>
      <w:r>
        <w:t xml:space="preserve"> ordenar ações para os Relatórios de Análise, sem promessa de desempenho ao assinante.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Resultado do teste — v1.0.5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image" Target="media/8a74375d5a1bace1d8c614886dd2cee3c634a80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resultado do teste histórico (v1.0.5)</dc:title>
  <dc:creator>SOLIDUNS</dc:creator>
  <cp:lastModifiedBy>Un-named</cp:lastModifiedBy>
  <cp:revision>1</cp:revision>
  <dcterms:created xsi:type="dcterms:W3CDTF">2026-10-23T02:56:19.271Z</dcterms:created>
  <dcterms:modified xsi:type="dcterms:W3CDTF">2026-10-23T02:56:19.271Z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