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Protocolo do teste histórico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1.0.5 — aprovada em 22 de outubro de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23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360"/>
      </w:pPr>
      <w:r>
        <w:t xml:space="preserve">1. O que este documento fixa</w:t>
      </w:r>
    </w:p>
    <w:p>
      <w:pPr>
        <w:spacing w:after="120" w:line="300"/>
        <w:jc w:val="both"/>
      </w:pPr>
      <w:r>
        <w:t xml:space="preserve">O teste histórico do Score roda </w:t>
      </w:r>
      <w:r>
        <w:rPr>
          <w:b/>
          <w:bCs/>
        </w:rPr>
        <w:t xml:space="preserve">uma única vez</w:t>
      </w:r>
      <w:r>
        <w:t xml:space="preserve">. Por isso, cada detalhe do cálculo precisa estar decidido antes da rodada.</w:t>
      </w:r>
    </w:p>
    <w:p>
      <w:pPr>
        <w:spacing w:after="120" w:line="300"/>
        <w:jc w:val="both"/>
      </w:pPr>
      <w:r>
        <w:t xml:space="preserve">Este protocolo completa o capítulo 6 da metodologia. Ele fixa os períodos, os custos, as carteiras e as fórmulas das medidas.</w:t>
      </w:r>
    </w:p>
    <w:p>
      <w:pPr>
        <w:spacing w:after="120" w:line="300"/>
        <w:jc w:val="both"/>
      </w:pPr>
      <w:r>
        <w:rPr>
          <w:b/>
          <w:bCs/>
        </w:rPr>
        <w:t xml:space="preserve">Nenhum resultado do Score foi calculado.</w:t>
      </w:r>
      <w:r>
        <w:t xml:space="preserve"> A máquina do teste foi conferida só com dois placebos, que não usam o Score (capítulo 7).</w:t>
      </w:r>
    </w:p>
    <w:p>
      <w:pPr>
        <w:pStyle w:val="Heading2"/>
        <w:keepNext/>
        <w:keepLines/>
      </w:pPr>
      <w:r>
        <w:t xml:space="preserve">Decisões aprovadas em 22/10/2026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Setor pequeno (etapa 3 do motor):</w:t>
      </w:r>
      <w:r>
        <w:t xml:space="preserve"> quando um setor tem menos de 5 ações com dado num subitem, a nota é calculada contra todas as ações do mês.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Períodos:</w:t>
      </w:r>
      <w:r>
        <w:t xml:space="preserve"> período principal com carteiras formadas de jan/2013 a jul/2023 (retornos de fev/2013 a ago/2023, 127 meses); período guardado com os 36 meses seguintes (retornos de set/2023 a ago/2026).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Ação que sai da bolsa:</w:t>
      </w:r>
      <w:r>
        <w:t xml:space="preserve"> rende até o último pregão; no resto do mês, rende a taxa livre de risco.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iguais</w:t>
      </w:r>
      <w:r>
        <w:t xml:space="preserve"> dentro de cada carteira, como em Jegadeesh e Titman (1993).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Carteira dos critérios:</w:t>
      </w:r>
      <w:r>
        <w:t xml:space="preserve"> quintil do topo refeito todo mês (prazo de 1 mês). Os prazos de 3, 6 e 12 meses aparecem no relatório.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Custos por faixa de liquidez</w:t>
      </w:r>
      <w:r>
        <w:t xml:space="preserve"> (capítulo 3), em vez de um estimador estatístico do spread.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Ibovespa:</w:t>
      </w:r>
      <w:r>
        <w:t xml:space="preserve"> o fundo de índice BOVA11, que segue o Ibovespa e pode ser comprado.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Sharpe deflacionado:</w:t>
      </w:r>
      <w:r>
        <w:t xml:space="preserve"> carteira do Radar, depois dos custos, acima da taxa livre de risco (CDI do NEFIN), contando 21 tentativas.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Família de 21 carteiras</w:t>
      </w:r>
      <w:r>
        <w:t xml:space="preserve"> para o Sharpe deflacionado, a probabilidade de sobreajuste e o teste SPA.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Erros-padrão:</w:t>
      </w:r>
      <w:r>
        <w:t xml:space="preserve"> Newey-West com 4 defasagens (regra 4·(T/100)^(2/9), com T = 127).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Rodada única:</w:t>
      </w:r>
      <w:r>
        <w:t xml:space="preserve"> o código fica fixado num registro do repositório antes da rodada. O resultado é publicado inteiro, passe ou não.</w:t>
      </w:r>
    </w:p>
    <w:p>
      <w:pPr>
        <w:pStyle w:val="Heading1"/>
        <w:keepNext/>
        <w:keepLines/>
        <w:spacing w:before="360"/>
      </w:pPr>
      <w:r>
        <w:t xml:space="preserve">2. Períodos e 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cantSplit/>
          <w:tblHeader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Formação das carteiras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último pregão de cada mês, com o Score calculado só com dados públicos na 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Período principal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formação de jan/2013 a jul/2023; retornos de fev/2013 a ago/2023 (127 meses)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Período guardado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formação de ago/2023 a jul/2026; retornos de set/2023 a ago/2026 (36 meses)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Último mês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ago/2026: último mês com os fatores do NEFIN completos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Pilar Momentum sozinho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 jan/2007 em diante, só descritivo (fora dos critérios)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Ibovespa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BOVA11 (COTAHIST da B3); conferido com a série 7 do Banco Central de 2009 a 2019: correlação mensal de 0,996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Taxa livre e fatores</w:t>
            </w:r>
          </w:p>
        </w:tc>
        <w:tc>
          <w:tcPr>
            <w:tcW w:type="dxa" w:w="6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NEFIN-USP: taxa livre diária e mensal; fatores mensais de mercado, tamanho, valor, momentum e iliquidez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3. Retornos e custos</w:t>
      </w:r>
    </w:p>
    <w:p>
      <w:pPr>
        <w:pStyle w:val="Heading2"/>
        <w:keepNext/>
        <w:keepLines/>
      </w:pPr>
      <w:r>
        <w:t xml:space="preserve">Retorno do mês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rᵢ,ₜ₊₁ = Iᵢ(fim de t + 1) / Iᵢ(fim de t) − 1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</w:t>
      </w:r>
      <w:r>
        <w:rPr>
          <w:b/>
          <w:bCs/>
          <w:color w:val="555555"/>
          <w:sz w:val="20"/>
          <w:szCs w:val="20"/>
        </w:rPr>
        <w:t xml:space="preserve">"rᵢ,ₜ₊₁"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no mês seguinte à formação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índice de retorno total </w:t>
      </w:r>
      <w:r>
        <w:rPr>
          <w:b/>
          <w:bCs/>
          <w:color w:val="555555"/>
          <w:sz w:val="20"/>
          <w:szCs w:val="20"/>
        </w:rPr>
        <w:t xml:space="preserve">"Iᵢ"</w:t>
      </w:r>
      <w:r>
        <w:rPr>
          <w:color w:val="555555"/>
          <w:sz w:val="20"/>
          <w:szCs w:val="20"/>
        </w:rPr>
        <w:t xml:space="preserve"> no último pregão do mês </w:t>
      </w:r>
      <w:r>
        <w:rPr>
          <w:b/>
          <w:bCs/>
          <w:color w:val="555555"/>
          <w:sz w:val="20"/>
          <w:szCs w:val="20"/>
        </w:rPr>
        <w:t xml:space="preserve">"t + 1"</w:t>
      </w:r>
      <w:r>
        <w:rPr>
          <w:color w:val="555555"/>
          <w:sz w:val="20"/>
          <w:szCs w:val="20"/>
        </w:rPr>
        <w:t xml:space="preserve">, dividido pelo índice no último pregão do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menos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a ação rendeu no mês, com os proventos reinvestidos.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Saída da bolsa no mês:</w:t>
      </w:r>
      <w:r>
        <w:t xml:space="preserve"> do último pregão até o fim do mês, o dinheiro rende a taxa livre de risco.</w:t>
      </w:r>
    </w:p>
    <w:p>
      <w:pPr>
        <w:pStyle w:val="Heading2"/>
        <w:keepNext/>
        <w:keepLines/>
      </w:pPr>
      <w:r>
        <w:t xml:space="preserve">Custo de cada negociação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cᵢ = corretagem + emolumentos + s/2 = 0,05% + 0,03% + s/2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custo </w:t>
      </w:r>
      <w:r>
        <w:rPr>
          <w:b/>
          <w:bCs/>
          <w:color w:val="555555"/>
          <w:sz w:val="20"/>
          <w:szCs w:val="20"/>
        </w:rPr>
        <w:t xml:space="preserve">"cᵢ"</w:t>
      </w:r>
      <w:r>
        <w:rPr>
          <w:color w:val="555555"/>
          <w:sz w:val="20"/>
          <w:szCs w:val="20"/>
        </w:rPr>
        <w:t xml:space="preserve"> de comprar ou vender 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a corretagem (</w:t>
      </w:r>
      <w:r>
        <w:rPr>
          <w:b/>
          <w:bCs/>
          <w:color w:val="555555"/>
          <w:sz w:val="20"/>
          <w:szCs w:val="20"/>
        </w:rPr>
        <w:t xml:space="preserve">"0,05%"</w:t>
      </w:r>
      <w:r>
        <w:rPr>
          <w:color w:val="555555"/>
          <w:sz w:val="20"/>
          <w:szCs w:val="20"/>
        </w:rPr>
        <w:t xml:space="preserve">), mais os emolumentos da B3 (</w:t>
      </w:r>
      <w:r>
        <w:rPr>
          <w:b/>
          <w:bCs/>
          <w:color w:val="555555"/>
          <w:sz w:val="20"/>
          <w:szCs w:val="20"/>
        </w:rPr>
        <w:t xml:space="preserve">"0,03%"</w:t>
      </w:r>
      <w:r>
        <w:rPr>
          <w:color w:val="555555"/>
          <w:sz w:val="20"/>
          <w:szCs w:val="20"/>
        </w:rPr>
        <w:t xml:space="preserve">), mais metade do spread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entre compra e venda.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cada compra e cada venda pagam a corretora, a bolsa e a diferença entre o preço de compra e o de venda.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cantSplit/>
          <w:tblHeader/>
        </w:trPr>
        <w:tc>
          <w:tcPr>
            <w:tcW w:type="dxa" w:w="4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 médio diário da ação (63 pregões)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Meio spread (s/2)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por lado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R$ 100 milhões ou mais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0,05%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0,13%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 R$ 20 a 100 milhões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0,15%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0,23%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 R$ 5 a 20 milhões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0,30%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0,38%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de R$ 1 a 5 milhões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0,50%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0,58%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Por que faixas:</w:t>
      </w:r>
      <w:r>
        <w:t xml:space="preserve"> o estimador de Abdi e Ranaldo (2017), testado com os preços máximo e mínimo da B3, foi instável. Deu zero para quase todas as ações em trimestres inteiros e cerca de 0,25% de meio spread para a PETR4, dez vezes o real.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Faixas conservadoras:</w:t>
      </w:r>
      <w:r>
        <w:t xml:space="preserve"> o meio spread real das ações mais negociadas é de cerca de um centavo de preço. As faixas pesam mais que isso, como pede Novy-Marx e Velikov (2016).</w:t>
      </w:r>
    </w:p>
    <w:p>
      <w:pPr>
        <w:pStyle w:val="Heading2"/>
        <w:keepNext/>
        <w:keepLines/>
      </w:pPr>
      <w:r>
        <w:t xml:space="preserve">Giro e retorno líquido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Custoₜ = Σᵢ |wᵢ,ₜ − w̃ᵢ,ₜ| · cᵢ;   Líquidoₜ = Brutoₜ − Custoₜ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custo </w:t>
      </w:r>
      <w:r>
        <w:rPr>
          <w:b/>
          <w:bCs/>
          <w:color w:val="555555"/>
          <w:sz w:val="20"/>
          <w:szCs w:val="20"/>
        </w:rPr>
        <w:t xml:space="preserve">"Custoₜ"</w:t>
      </w:r>
      <w:r>
        <w:rPr>
          <w:color w:val="555555"/>
          <w:sz w:val="20"/>
          <w:szCs w:val="20"/>
        </w:rPr>
        <w:t xml:space="preserve"> do mês é a soma, em todas as ações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, da diferença entre o peso desejado </w:t>
      </w:r>
      <w:r>
        <w:rPr>
          <w:b/>
          <w:bCs/>
          <w:color w:val="555555"/>
          <w:sz w:val="20"/>
          <w:szCs w:val="20"/>
        </w:rPr>
        <w:t xml:space="preserve">"wᵢ,ₜ"</w:t>
      </w:r>
      <w:r>
        <w:rPr>
          <w:color w:val="555555"/>
          <w:sz w:val="20"/>
          <w:szCs w:val="20"/>
        </w:rPr>
        <w:t xml:space="preserve"> e o peso que a ação tinha depois do mês anterior </w:t>
      </w:r>
      <w:r>
        <w:rPr>
          <w:b/>
          <w:bCs/>
          <w:color w:val="555555"/>
          <w:sz w:val="20"/>
          <w:szCs w:val="20"/>
        </w:rPr>
        <w:t xml:space="preserve">"w̃ᵢ,ₜ"</w:t>
      </w:r>
      <w:r>
        <w:rPr>
          <w:color w:val="555555"/>
          <w:sz w:val="20"/>
          <w:szCs w:val="20"/>
        </w:rPr>
        <w:t xml:space="preserve">, vezes o custo </w:t>
      </w:r>
      <w:r>
        <w:rPr>
          <w:b/>
          <w:bCs/>
          <w:color w:val="555555"/>
          <w:sz w:val="20"/>
          <w:szCs w:val="20"/>
        </w:rPr>
        <w:t xml:space="preserve">"cᵢ"</w:t>
      </w:r>
      <w:r>
        <w:rPr>
          <w:color w:val="555555"/>
          <w:sz w:val="20"/>
          <w:szCs w:val="20"/>
        </w:rPr>
        <w:t xml:space="preserve">; o retorno líquido é o bruto menos o custo.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só paga custo o que é de fato comprado ou vendido na troca da carteira.</w:t>
      </w:r>
    </w:p>
    <w:p>
      <w:pPr>
        <w:pStyle w:val="Heading1"/>
        <w:keepNext/>
        <w:keepLines/>
        <w:spacing w:before="360"/>
      </w:pPr>
      <w:r>
        <w:t xml:space="preserve">4. Carteiras</w:t>
      </w:r>
    </w:p>
    <w:p>
      <w:pPr>
        <w:pStyle w:val="Heading2"/>
        <w:keepNext/>
        <w:keepLines/>
      </w:pPr>
      <w:r>
        <w:t xml:space="preserve">Quintis sobrepostos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wᵢ,ₜ = (1/K) · Σₖ₌₀ᴷ⁻¹ 1[i ∈ Qₜ₋ₖ] / nₜ₋ₖ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peso </w:t>
      </w:r>
      <w:r>
        <w:rPr>
          <w:b/>
          <w:bCs/>
          <w:color w:val="555555"/>
          <w:sz w:val="20"/>
          <w:szCs w:val="20"/>
        </w:rPr>
        <w:t xml:space="preserve">"wᵢ,ₜ"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a média, nas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carteiras formadas nos últimos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meses, do peso igual que ela tem em cada uma; </w:t>
      </w:r>
      <w:r>
        <w:rPr>
          <w:b/>
          <w:bCs/>
          <w:color w:val="555555"/>
          <w:sz w:val="20"/>
          <w:szCs w:val="20"/>
        </w:rPr>
        <w:t xml:space="preserve">"1[i ∈ Qₜ₋ₖ]"</w:t>
      </w:r>
      <w:r>
        <w:rPr>
          <w:color w:val="555555"/>
          <w:sz w:val="20"/>
          <w:szCs w:val="20"/>
        </w:rPr>
        <w:t xml:space="preserve"> vale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se a ação estava no quintil formado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meses antes, e </w:t>
      </w:r>
      <w:r>
        <w:rPr>
          <w:b/>
          <w:bCs/>
          <w:color w:val="555555"/>
          <w:sz w:val="20"/>
          <w:szCs w:val="20"/>
        </w:rPr>
        <w:t xml:space="preserve">"nₜ₋ₖ"</w:t>
      </w:r>
      <w:r>
        <w:rPr>
          <w:color w:val="555555"/>
          <w:sz w:val="20"/>
          <w:szCs w:val="20"/>
        </w:rPr>
        <w:t xml:space="preserve"> é o número de ações daquele quintil.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com prazo de 3 meses, por exemplo, um terço do dinheiro segue cada uma das três últimas carteiras.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Quintis:</w:t>
      </w:r>
      <w:r>
        <w:t xml:space="preserve"> as ações do mês são ordenadas pelo Score e divididas em cinco grupos de mesmo tamanho.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Prazos:</w:t>
      </w:r>
      <w:r>
        <w:t xml:space="preserve"> 1, 3, 6 e 12 meses (Jegadeesh; Titman, 1993).</w:t>
      </w:r>
    </w:p>
    <w:p>
      <w:pPr>
        <w:pStyle w:val="Heading2"/>
        <w:keepNext/>
        <w:keepLines/>
      </w:pPr>
      <w:r>
        <w:t xml:space="preserve">Carteira do Radar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Entra:</w:t>
      </w:r>
      <w:r>
        <w:t xml:space="preserve"> ação entre os 20% melhores do Score do mês.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Fica:</w:t>
      </w:r>
      <w:r>
        <w:t xml:space="preserve"> enquanto estiver entre os 40% melhores.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Pesos:</w:t>
      </w:r>
      <w:r>
        <w:t xml:space="preserve"> iguais, refeitos todo mês.</w:t>
      </w:r>
    </w:p>
    <w:p>
      <w:pPr>
        <w:pStyle w:val="Heading1"/>
        <w:keepNext/>
        <w:keepLines/>
        <w:spacing w:before="360"/>
      </w:pPr>
      <w:r>
        <w:t xml:space="preserve">5. Medidas</w:t>
      </w:r>
    </w:p>
    <w:p>
      <w:pPr>
        <w:pStyle w:val="Heading2"/>
        <w:keepNext/>
        <w:keepLines/>
      </w:pPr>
      <w:r>
        <w:t xml:space="preserve">Poder de previsão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rᵢ,ₜ₊₁ = aₜ + bₜ · Scoreᵢ,ₜ + eᵢ,ₜ;   t = média(bₜ) / EP_NW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em cada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o retorno </w:t>
      </w:r>
      <w:r>
        <w:rPr>
          <w:b/>
          <w:bCs/>
          <w:color w:val="555555"/>
          <w:sz w:val="20"/>
          <w:szCs w:val="20"/>
        </w:rPr>
        <w:t xml:space="preserve">"rᵢ,ₜ₊₁"</w:t>
      </w:r>
      <w:r>
        <w:rPr>
          <w:color w:val="555555"/>
          <w:sz w:val="20"/>
          <w:szCs w:val="20"/>
        </w:rPr>
        <w:t xml:space="preserve"> é regredido no Score </w:t>
      </w:r>
      <w:r>
        <w:rPr>
          <w:b/>
          <w:bCs/>
          <w:color w:val="555555"/>
          <w:sz w:val="20"/>
          <w:szCs w:val="20"/>
        </w:rPr>
        <w:t xml:space="preserve">"Scoreᵢ,ₜ"</w:t>
      </w:r>
      <w:r>
        <w:rPr>
          <w:color w:val="555555"/>
          <w:sz w:val="20"/>
          <w:szCs w:val="20"/>
        </w:rPr>
        <w:t xml:space="preserve">; a estatística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a média dos coeficientes </w:t>
      </w:r>
      <w:r>
        <w:rPr>
          <w:b/>
          <w:bCs/>
          <w:color w:val="555555"/>
          <w:sz w:val="20"/>
          <w:szCs w:val="20"/>
        </w:rPr>
        <w:t xml:space="preserve">"bₜ"</w:t>
      </w:r>
      <w:r>
        <w:rPr>
          <w:color w:val="555555"/>
          <w:sz w:val="20"/>
          <w:szCs w:val="20"/>
        </w:rPr>
        <w:t xml:space="preserve"> dividida pelo erro-padrão de Newey-West </w:t>
      </w:r>
      <w:r>
        <w:rPr>
          <w:b/>
          <w:bCs/>
          <w:color w:val="555555"/>
          <w:sz w:val="20"/>
          <w:szCs w:val="20"/>
        </w:rPr>
        <w:t xml:space="preserve">"EP_NW"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se, mês a mês, ações com Score maior renderam mais depois.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Coeficiente de informação:</w:t>
      </w:r>
      <w:r>
        <w:t xml:space="preserve"> média mensal da correlação de postos entre o Score e o retorno do mês seguinte, com a mesma correção.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Alfa:</w:t>
      </w:r>
      <w:r>
        <w:t xml:space="preserve"> regressão mensal do quintil do topo menos o de baixo (1 mês, bruto) nos 5 fatores do NEFIN, como no capítulo 6 da metodologia.</w:t>
      </w:r>
    </w:p>
    <w:p>
      <w:pPr>
        <w:pStyle w:val="Heading2"/>
        <w:keepNext/>
        <w:keepLines/>
        <w:pageBreakBefore/>
      </w:pPr>
      <w:r>
        <w:t xml:space="preserve">Sharpe deflacionado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PSD = Φ[(SR − SR₀) · raiz(T − 1) / raiz(1 − γ₃ · SR + (γ₄ − 1)/4 · SR²)]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probabilidade </w:t>
      </w:r>
      <w:r>
        <w:rPr>
          <w:b/>
          <w:bCs/>
          <w:color w:val="555555"/>
          <w:sz w:val="20"/>
          <w:szCs w:val="20"/>
        </w:rPr>
        <w:t xml:space="preserve">"PSD"</w:t>
      </w:r>
      <w:r>
        <w:rPr>
          <w:color w:val="555555"/>
          <w:sz w:val="20"/>
          <w:szCs w:val="20"/>
        </w:rPr>
        <w:t xml:space="preserve"> é a normal acumulada </w:t>
      </w:r>
      <w:r>
        <w:rPr>
          <w:b/>
          <w:bCs/>
          <w:color w:val="555555"/>
          <w:sz w:val="20"/>
          <w:szCs w:val="20"/>
        </w:rPr>
        <w:t xml:space="preserve">"Φ"</w:t>
      </w:r>
      <w:r>
        <w:rPr>
          <w:color w:val="555555"/>
          <w:sz w:val="20"/>
          <w:szCs w:val="20"/>
        </w:rPr>
        <w:t xml:space="preserve"> da diferença entre o Sharpe mensal da carteira </w:t>
      </w:r>
      <w:r>
        <w:rPr>
          <w:b/>
          <w:bCs/>
          <w:color w:val="555555"/>
          <w:sz w:val="20"/>
          <w:szCs w:val="20"/>
        </w:rPr>
        <w:t xml:space="preserve">"SR"</w:t>
      </w:r>
      <w:r>
        <w:rPr>
          <w:color w:val="555555"/>
          <w:sz w:val="20"/>
          <w:szCs w:val="20"/>
        </w:rPr>
        <w:t xml:space="preserve"> e o Sharpe esperado pela sorte </w:t>
      </w:r>
      <w:r>
        <w:rPr>
          <w:b/>
          <w:bCs/>
          <w:color w:val="555555"/>
          <w:sz w:val="20"/>
          <w:szCs w:val="20"/>
        </w:rPr>
        <w:t xml:space="preserve">"SR₀"</w:t>
      </w:r>
      <w:r>
        <w:rPr>
          <w:color w:val="555555"/>
          <w:sz w:val="20"/>
          <w:szCs w:val="20"/>
        </w:rPr>
        <w:t xml:space="preserve">, vezes a raiz quadrada de </w:t>
      </w:r>
      <w:r>
        <w:rPr>
          <w:b/>
          <w:bCs/>
          <w:color w:val="555555"/>
          <w:sz w:val="20"/>
          <w:szCs w:val="20"/>
        </w:rPr>
        <w:t xml:space="preserve">"T − 1"</w:t>
      </w:r>
      <w:r>
        <w:rPr>
          <w:color w:val="555555"/>
          <w:sz w:val="20"/>
          <w:szCs w:val="20"/>
        </w:rPr>
        <w:t xml:space="preserve">, dividida por um termo que corrige a assimetria </w:t>
      </w:r>
      <w:r>
        <w:rPr>
          <w:b/>
          <w:bCs/>
          <w:color w:val="555555"/>
          <w:sz w:val="20"/>
          <w:szCs w:val="20"/>
        </w:rPr>
        <w:t xml:space="preserve">"γ₃"</w:t>
      </w:r>
      <w:r>
        <w:rPr>
          <w:color w:val="555555"/>
          <w:sz w:val="20"/>
          <w:szCs w:val="20"/>
        </w:rPr>
        <w:t xml:space="preserve"> e a curtose </w:t>
      </w:r>
      <w:r>
        <w:rPr>
          <w:b/>
          <w:bCs/>
          <w:color w:val="555555"/>
          <w:sz w:val="20"/>
          <w:szCs w:val="20"/>
        </w:rPr>
        <w:t xml:space="preserve">"γ₄"</w:t>
      </w:r>
      <w:r>
        <w:rPr>
          <w:color w:val="555555"/>
          <w:sz w:val="20"/>
          <w:szCs w:val="20"/>
        </w:rPr>
        <w:t xml:space="preserve"> dos retornos.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a chance de o Sharpe da carteira não ser fruto de sorte, dado o número de tentativas.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SR₀ = raiz(V) · [(1 − γ) · Φ⁻¹(1 − 1/N) + γ · Φ⁻¹(1 − 1/(N·e))]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Sharpe esperado pela sorte </w:t>
      </w:r>
      <w:r>
        <w:rPr>
          <w:b/>
          <w:bCs/>
          <w:color w:val="555555"/>
          <w:sz w:val="20"/>
          <w:szCs w:val="20"/>
        </w:rPr>
        <w:t xml:space="preserve">"SR₀"</w:t>
      </w:r>
      <w:r>
        <w:rPr>
          <w:color w:val="555555"/>
          <w:sz w:val="20"/>
          <w:szCs w:val="20"/>
        </w:rPr>
        <w:t xml:space="preserve"> usa a variância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dos Sharpes das </w:t>
      </w:r>
      <w:r>
        <w:rPr>
          <w:b/>
          <w:bCs/>
          <w:color w:val="555555"/>
          <w:sz w:val="20"/>
          <w:szCs w:val="20"/>
        </w:rPr>
        <w:t xml:space="preserve">"N = 21"</w:t>
      </w:r>
      <w:r>
        <w:rPr>
          <w:color w:val="555555"/>
          <w:sz w:val="20"/>
          <w:szCs w:val="20"/>
        </w:rPr>
        <w:t xml:space="preserve"> carteiras da família e a constante de Euler-Mascheroni </w:t>
      </w:r>
      <w:r>
        <w:rPr>
          <w:b/>
          <w:bCs/>
          <w:color w:val="555555"/>
          <w:sz w:val="20"/>
          <w:szCs w:val="20"/>
        </w:rPr>
        <w:t xml:space="preserve">"γ ≈ 0,5772"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quanto mais carteiras são olhadas, e quanto mais elas diferem, maior o Sharpe que a sorte sozinha produziria.</w:t>
      </w:r>
    </w:p>
    <w:p>
      <w:pPr>
        <w:pStyle w:val="Heading2"/>
        <w:keepNext/>
        <w:keepLines/>
      </w:pPr>
      <w:r>
        <w:t xml:space="preserve">Família de 21 carteiras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Composição:</w:t>
      </w:r>
      <w:r>
        <w:t xml:space="preserve"> 5 sinais (Score e cada um dos 4 pilares sozinho) × 4 prazos, quintil do topo, depois dos custos; mais a carteira do Radar.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Sobreajuste (CSCV):</w:t>
      </w:r>
      <w:r>
        <w:t xml:space="preserve"> o período principal é dividido em 16 blocos. Em cada uma das 12.870 combinações de 8 blocos, escolhe-se a melhor carteira dentro da amostra e vê-se a sua posição fora dela. A probabilidade de sobreajuste é a fração em que ela fica abaixo da mediana (Bailey et al., 2017).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SPA de Hansen (2005):</w:t>
      </w:r>
      <w:r>
        <w:t xml:space="preserve"> confere se alguma carteira da família bate o Ibovespa, descontada a busca entre as 21. Reamostragem estacionária com 2.000 repetições e blocos médios de 6 meses. Fica no relatório; não é critério.</w:t>
      </w:r>
    </w:p>
    <w:p>
      <w:pPr>
        <w:pStyle w:val="Heading1"/>
        <w:keepNext/>
        <w:keepLines/>
        <w:spacing w:before="360"/>
      </w:pPr>
      <w:r>
        <w:t xml:space="preserve">6. Critérios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rPr>
          <w:cantSplit/>
          <w:tblHeader/>
        </w:trPr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 e carteira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 ≥ 3</w:t>
            </w:r>
          </w:p>
        </w:tc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principal; todas as ações elegíveis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contra os 5 fatores do NEFIN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t ≥ 2</w:t>
            </w:r>
          </w:p>
        </w:tc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principal; quintil 5 − quintil 1, 1 mês, bruto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acima de 95%</w:t>
            </w:r>
          </w:p>
        </w:tc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principal; Radar líquido acima do CDI, N = 21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principal; família de 21 carteiras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</w:t>
            </w:r>
          </w:p>
        </w:tc>
        <w:tc>
          <w:tcPr>
            <w:tcW w:type="dxa" w:w="24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quintil do topo à frente do Ibovespa</w:t>
            </w:r>
          </w:p>
        </w:tc>
        <w:tc>
          <w:tcPr>
            <w:tcW w:type="dxa" w:w="3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36 meses; quintil do topo, 1 mês, líquido, contra o BOVA11</w:t>
            </w:r>
          </w:p>
        </w:tc>
      </w:tr>
    </w:tbl>
    <w:p>
      <w:pPr>
        <w:spacing w:after="120" w:line="300"/>
        <w:jc w:val="both"/>
      </w:pPr>
      <w:r>
        <w:t xml:space="preserve">O ranking só vai para os assinantes se passar em </w:t>
      </w:r>
      <w:r>
        <w:rPr>
          <w:b/>
          <w:bCs/>
        </w:rPr>
        <w:t xml:space="preserve">todos</w:t>
      </w:r>
      <w:r>
        <w:t xml:space="preserve">. Também saem no relatório, sem decidir nada: os prazos de 3, 6 e 12 meses, o Pilar Momentum desde 2007, os custos em dobro e a conferência do EM Score.</w:t>
      </w:r>
    </w:p>
    <w:p>
      <w:pPr>
        <w:pStyle w:val="Heading1"/>
        <w:keepNext/>
        <w:keepLines/>
        <w:pageBreakBefore/>
        <w:spacing w:before="360"/>
      </w:pPr>
      <w:r>
        <w:t xml:space="preserve">7. Conferência da máquina: placebos</w:t>
      </w:r>
    </w:p>
    <w:p>
      <w:pPr>
        <w:spacing w:after="120" w:line="300"/>
        <w:jc w:val="both"/>
      </w:pPr>
      <w:r>
        <w:t xml:space="preserve">Antes do teste do Score, a mesma máquina rodou com dois placebos: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Aleatório:</w:t>
      </w:r>
      <w:r>
        <w:t xml:space="preserve"> notas sorteadas. Um teste correto não pode achar poder de previsão.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Oráculo:</w:t>
      </w:r>
      <w:r>
        <w:t xml:space="preserve"> nota igual ao retorno do mês seguinte mais ruído. Um teste correto precisa achar poder enorme.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00"/>
      </w:tblGrid>
      <w:tr>
        <w:trPr>
          <w:cantSplit/>
          <w:tblHeader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Aleatório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Oráculo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 de Fama-MacBeth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0,67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32,08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Coeficiente de informação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0,009 (t 1,30)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0,504 (t 94,8)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Q5 − Q1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0,12% ao mês (t 0,71)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13,37% ao mês (t 31,9)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9,2%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97,7%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20,4%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0,0%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SPA de Hansen (valor p)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0,68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Período guardado: quintil do topo × Ibovespa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−19,2% × 55,6%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905,9% × 55,6%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Conclusão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não passou</w:t>
            </w:r>
          </w:p>
        </w:tc>
        <w:tc>
          <w:tcPr>
            <w:tcW w:type="dxa" w:w="26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passou em todos</w:t>
            </w:r>
          </w:p>
        </w:tc>
      </w:tr>
    </w:tbl>
    <w:p>
      <w:pPr>
        <w:spacing w:after="120" w:line="300"/>
        <w:jc w:val="both"/>
      </w:pPr>
      <w:r>
        <w:t xml:space="preserve">A máquina se comporta como deve nos dois extremos.</w:t>
      </w:r>
    </w:p>
    <w:p>
      <w:pPr>
        <w:pStyle w:val="Heading2"/>
        <w:keepNext/>
        <w:keepLines/>
      </w:pPr>
      <w:r>
        <w:t xml:space="preserve">Pontos de atenção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Pesos iguais contra o Ibovespa no período guardado:</w:t>
      </w:r>
      <w:r>
        <w:t xml:space="preserve"> o placebo mostrou um fato de mercado, sem relação com o Score. De set/2023 a ago/2026, a média simples das ações elegíveis subiu 12,8% antes dos custos. No mesmo período, o BOVA11 subiu 55,6%, puxado pelas maiores empresas. Com pesos iguais, o critério 5 fica mais difícil.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Recomendação:</w:t>
      </w:r>
      <w:r>
        <w:t xml:space="preserve"> manter os pesos iguais. Trocar a regra agora seria escolher olhando os dados guardados, que é justamente o que o registro prévio evita.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Sharpe deflacionado exigente:</w:t>
      </w:r>
      <w:r>
        <w:t xml:space="preserve"> como as 21 carteiras diferem por construção (prazos de 1 a 12 meses), o Sharpe esperado pela sorte sobe. Até o oráculo ficou perto do limite (97,7%).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Conferência do EM Score já vista:</w:t>
      </w:r>
      <w:r>
        <w:t xml:space="preserve"> numa rodada de depuração, a conferência do EM Score rodou com os dados reais. Doze meses antes de recuperações judiciais e falências, 6 de 7 empresas estavam na zona de perigo. Ela não usa o Score nem os retornos e não muda nenhuma regra.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Protocolo do teste v1.0.5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protocolo do teste histórico v1.0.5</dc:title>
  <dc:creator>SOLIDUNS</dc:creator>
  <cp:lastModifiedBy>Un-named</cp:lastModifiedBy>
  <cp:revision>1</cp:revision>
  <dcterms:created xsi:type="dcterms:W3CDTF">2026-10-23T02:49:41.375Z</dcterms:created>
  <dcterms:modified xsi:type="dcterms:W3CDTF">2026-10-23T02:49:41.381Z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