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7"/>
          <w:footerReference w:type="default" r:id="rId8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Heading1"/>
        <w:keepNext/>
        <w:spacing w:after="40"/>
      </w:pPr>
      <w:r>
        <w:rPr>
          <w:rFonts w:ascii="Georgia" w:cs="Georgia" w:eastAsia="Georgia" w:hAnsi="Georgia"/>
          <w:b/>
          <w:bCs/>
          <w:color w:val="1B2A4E"/>
          <w:sz w:val="30"/>
          <w:szCs w:val="30"/>
        </w:rPr>
        <w:t xml:space="preserve">Sumário</w:t>
      </w:r>
    </w:p>
    <w:p>
      <w:pPr>
        <w:keepNext/>
        <w:pBdr>
          <w:bottom w:val="single" w:color="F2C811" w:sz="12" w:space="6"/>
        </w:pBdr>
        <w:spacing w:after="240"/>
      </w:pPr>
      <w:r>
        <w:rPr>
          <w:rFonts w:ascii="Georgia" w:cs="Georgia" w:eastAsia="Georgia" w:hAnsi="Georgia"/>
          <w:i/>
          <w:iCs/>
          <w:color w:val="8A6D00"/>
          <w:sz w:val="23"/>
          <w:szCs w:val="23"/>
        </w:rPr>
        <w:t xml:space="preserve">Conferência com a NBR 14653 · v83-AVA</w:t>
      </w:r>
    </w:p>
    <w:p>
      <w:pPr>
        <w:keepNext/>
        <w:keepLines/>
        <w:tabs>
          <w:tab w:val="right" w:pos="9360" w:leader="dot"/>
        </w:tabs>
        <w:spacing w:after="0" w:before="120"/>
      </w:pPr>
      <w:r>
        <w:rPr>
          <w:rFonts w:ascii="Georgia" w:cs="Georgia" w:eastAsia="Georgia" w:hAnsi="Georgia"/>
          <w:b/>
          <w:bCs/>
          <w:color w:val="1B2A4E"/>
          <w:sz w:val="21"/>
          <w:szCs w:val="21"/>
        </w:rPr>
        <w:t xml:space="preserve">Resumo</w:t>
      </w:r>
      <w:r>
        <w:tab/>
      </w:r>
      <w:r>
        <w:rPr>
          <w:rFonts w:ascii="Georgia" w:cs="Georgia" w:eastAsia="Georgia" w:hAnsi="Georgia"/>
          <w:b/>
          <w:bCs/>
          <w:color w:val="1B2A4E"/>
          <w:sz w:val="21"/>
          <w:szCs w:val="21"/>
        </w:rPr>
        <w:t xml:space="preserve">3</w:t>
      </w:r>
    </w:p>
    <w:p>
      <w:pPr>
        <w:keepLines/>
        <w:spacing w:after="40"/>
        <w:ind w:left="240"/>
      </w:pPr>
      <w:r>
        <w:rPr>
          <w:rFonts w:ascii="Georgia" w:cs="Georgia" w:eastAsia="Georgia" w:hAnsi="Georgia"/>
          <w:i/>
          <w:iCs/>
          <w:color w:val="667788"/>
          <w:sz w:val="18"/>
          <w:szCs w:val="18"/>
        </w:rPr>
        <w:t xml:space="preserve">O que foi conferido e o resultado</w:t>
      </w:r>
    </w:p>
    <w:p>
      <w:pPr>
        <w:keepNext/>
        <w:keepLines/>
        <w:tabs>
          <w:tab w:val="right" w:pos="9360" w:leader="dot"/>
        </w:tabs>
        <w:spacing w:after="0" w:before="120"/>
      </w:pPr>
      <w:r>
        <w:rPr>
          <w:rFonts w:ascii="Georgia" w:cs="Georgia" w:eastAsia="Georgia" w:hAnsi="Georgia"/>
          <w:b/>
          <w:bCs/>
          <w:color w:val="1B2A4E"/>
          <w:sz w:val="21"/>
          <w:szCs w:val="21"/>
        </w:rPr>
        <w:t xml:space="preserve">Normas recebidas</w:t>
      </w:r>
      <w:r>
        <w:tab/>
      </w:r>
      <w:r>
        <w:rPr>
          <w:rFonts w:ascii="Georgia" w:cs="Georgia" w:eastAsia="Georgia" w:hAnsi="Georgia"/>
          <w:b/>
          <w:bCs/>
          <w:color w:val="1B2A4E"/>
          <w:sz w:val="21"/>
          <w:szCs w:val="21"/>
        </w:rPr>
        <w:t xml:space="preserve">3</w:t>
      </w:r>
    </w:p>
    <w:p>
      <w:pPr>
        <w:keepLines/>
        <w:spacing w:after="40"/>
        <w:ind w:left="240"/>
      </w:pPr>
      <w:r>
        <w:rPr>
          <w:rFonts w:ascii="Georgia" w:cs="Georgia" w:eastAsia="Georgia" w:hAnsi="Georgia"/>
          <w:i/>
          <w:iCs/>
          <w:color w:val="667788"/>
          <w:sz w:val="18"/>
          <w:szCs w:val="18"/>
        </w:rPr>
        <w:t xml:space="preserve">Inventário dos 8 arquivos enviados</w:t>
      </w:r>
    </w:p>
    <w:p>
      <w:pPr>
        <w:keepNext/>
        <w:keepLines/>
        <w:tabs>
          <w:tab w:val="right" w:pos="9360" w:leader="dot"/>
        </w:tabs>
        <w:spacing w:after="0" w:before="120"/>
      </w:pPr>
      <w:r>
        <w:rPr>
          <w:rFonts w:ascii="Georgia" w:cs="Georgia" w:eastAsia="Georgia" w:hAnsi="Georgia"/>
          <w:b/>
          <w:bCs/>
          <w:color w:val="1B2A4E"/>
          <w:sz w:val="21"/>
          <w:szCs w:val="21"/>
        </w:rPr>
        <w:t xml:space="preserve">Como foi feita</w:t>
      </w:r>
      <w:r>
        <w:tab/>
      </w:r>
      <w:r>
        <w:rPr>
          <w:rFonts w:ascii="Georgia" w:cs="Georgia" w:eastAsia="Georgia" w:hAnsi="Georgia"/>
          <w:b/>
          <w:bCs/>
          <w:color w:val="1B2A4E"/>
          <w:sz w:val="21"/>
          <w:szCs w:val="21"/>
        </w:rPr>
        <w:t xml:space="preserve">4</w:t>
      </w:r>
    </w:p>
    <w:p>
      <w:pPr>
        <w:keepLines/>
        <w:spacing w:after="40"/>
        <w:ind w:left="240"/>
      </w:pPr>
      <w:r>
        <w:rPr>
          <w:rFonts w:ascii="Georgia" w:cs="Georgia" w:eastAsia="Georgia" w:hAnsi="Georgia"/>
          <w:i/>
          <w:iCs/>
          <w:color w:val="667788"/>
          <w:sz w:val="18"/>
          <w:szCs w:val="18"/>
        </w:rPr>
        <w:t xml:space="preserve">Método da conferência</w:t>
      </w:r>
    </w:p>
    <w:p>
      <w:pPr>
        <w:keepNext/>
        <w:keepLines/>
        <w:tabs>
          <w:tab w:val="right" w:pos="9360" w:leader="dot"/>
        </w:tabs>
        <w:spacing w:after="0" w:before="120"/>
      </w:pPr>
      <w:r>
        <w:rPr>
          <w:rFonts w:ascii="Georgia" w:cs="Georgia" w:eastAsia="Georgia" w:hAnsi="Georgia"/>
          <w:b/>
          <w:bCs/>
          <w:color w:val="1B2A4E"/>
          <w:sz w:val="21"/>
          <w:szCs w:val="21"/>
        </w:rPr>
        <w:t xml:space="preserve">Regras corrigidas</w:t>
      </w:r>
      <w:r>
        <w:tab/>
      </w:r>
      <w:r>
        <w:rPr>
          <w:rFonts w:ascii="Georgia" w:cs="Georgia" w:eastAsia="Georgia" w:hAnsi="Georgia"/>
          <w:b/>
          <w:bCs/>
          <w:color w:val="1B2A4E"/>
          <w:sz w:val="21"/>
          <w:szCs w:val="21"/>
        </w:rPr>
        <w:t xml:space="preserve">4</w:t>
      </w:r>
    </w:p>
    <w:p>
      <w:pPr>
        <w:keepLines/>
        <w:spacing w:after="40"/>
        <w:ind w:left="240"/>
      </w:pPr>
      <w:r>
        <w:rPr>
          <w:rFonts w:ascii="Georgia" w:cs="Georgia" w:eastAsia="Georgia" w:hAnsi="Georgia"/>
          <w:i/>
          <w:iCs/>
          <w:color w:val="667788"/>
          <w:sz w:val="18"/>
          <w:szCs w:val="18"/>
        </w:rPr>
        <w:t xml:space="preserve">Tratamento dos dados e enquadramento</w:t>
      </w:r>
    </w:p>
    <w:p>
      <w:pPr>
        <w:keepNext/>
        <w:keepLines/>
        <w:tabs>
          <w:tab w:val="right" w:pos="9360" w:leader="dot"/>
        </w:tabs>
        <w:spacing w:after="0" w:before="120"/>
      </w:pPr>
      <w:r>
        <w:rPr>
          <w:rFonts w:ascii="Georgia" w:cs="Georgia" w:eastAsia="Georgia" w:hAnsi="Georgia"/>
          <w:b/>
          <w:bCs/>
          <w:color w:val="1B2A4E"/>
          <w:sz w:val="21"/>
          <w:szCs w:val="21"/>
        </w:rPr>
        <w:t xml:space="preserve">Regras confirmadas</w:t>
      </w:r>
      <w:r>
        <w:tab/>
      </w:r>
      <w:r>
        <w:rPr>
          <w:rFonts w:ascii="Georgia" w:cs="Georgia" w:eastAsia="Georgia" w:hAnsi="Georgia"/>
          <w:b/>
          <w:bCs/>
          <w:color w:val="1B2A4E"/>
          <w:sz w:val="21"/>
          <w:szCs w:val="21"/>
        </w:rPr>
        <w:t xml:space="preserve">6</w:t>
      </w:r>
    </w:p>
    <w:p>
      <w:pPr>
        <w:keepLines/>
        <w:spacing w:after="40"/>
        <w:ind w:left="240"/>
      </w:pPr>
      <w:r>
        <w:rPr>
          <w:rFonts w:ascii="Georgia" w:cs="Georgia" w:eastAsia="Georgia" w:hAnsi="Georgia"/>
          <w:i/>
          <w:iCs/>
          <w:color w:val="667788"/>
          <w:sz w:val="18"/>
          <w:szCs w:val="18"/>
        </w:rPr>
        <w:t xml:space="preserve">O que já estava de acordo com a norma</w:t>
      </w:r>
    </w:p>
    <w:p>
      <w:pPr>
        <w:keepNext/>
        <w:keepLines/>
        <w:tabs>
          <w:tab w:val="right" w:pos="9360" w:leader="dot"/>
        </w:tabs>
        <w:spacing w:after="0" w:before="120"/>
      </w:pPr>
      <w:r>
        <w:rPr>
          <w:rFonts w:ascii="Georgia" w:cs="Georgia" w:eastAsia="Georgia" w:hAnsi="Georgia"/>
          <w:b/>
          <w:bCs/>
          <w:color w:val="1B2A4E"/>
          <w:sz w:val="21"/>
          <w:szCs w:val="21"/>
        </w:rPr>
        <w:t xml:space="preserve">Pendências</w:t>
      </w:r>
      <w:r>
        <w:tab/>
      </w:r>
      <w:r>
        <w:rPr>
          <w:rFonts w:ascii="Georgia" w:cs="Georgia" w:eastAsia="Georgia" w:hAnsi="Georgia"/>
          <w:b/>
          <w:bCs/>
          <w:color w:val="1B2A4E"/>
          <w:sz w:val="21"/>
          <w:szCs w:val="21"/>
        </w:rPr>
        <w:t xml:space="preserve">6</w:t>
      </w:r>
    </w:p>
    <w:p>
      <w:pPr>
        <w:keepLines/>
        <w:spacing w:after="40"/>
        <w:ind w:left="240"/>
      </w:pPr>
      <w:r>
        <w:rPr>
          <w:rFonts w:ascii="Georgia" w:cs="Georgia" w:eastAsia="Georgia" w:hAnsi="Georgia"/>
          <w:i/>
          <w:iCs/>
          <w:color w:val="667788"/>
          <w:sz w:val="18"/>
          <w:szCs w:val="18"/>
        </w:rPr>
        <w:t xml:space="preserve">O que depende de material ou de decisão</w:t>
      </w:r>
    </w:p>
    <w:p>
      <w:pPr>
        <w:keepNext/>
        <w:keepLines/>
        <w:tabs>
          <w:tab w:val="right" w:pos="9360" w:leader="dot"/>
        </w:tabs>
        <w:spacing w:after="0" w:before="120"/>
      </w:pPr>
      <w:r>
        <w:rPr>
          <w:rFonts w:ascii="Georgia" w:cs="Georgia" w:eastAsia="Georgia" w:hAnsi="Georgia"/>
          <w:b/>
          <w:bCs/>
          <w:color w:val="1B2A4E"/>
          <w:sz w:val="21"/>
          <w:szCs w:val="21"/>
        </w:rPr>
        <w:t xml:space="preserve">Testes</w:t>
      </w:r>
      <w:r>
        <w:tab/>
      </w:r>
      <w:r>
        <w:rPr>
          <w:rFonts w:ascii="Georgia" w:cs="Georgia" w:eastAsia="Georgia" w:hAnsi="Georgia"/>
          <w:b/>
          <w:bCs/>
          <w:color w:val="1B2A4E"/>
          <w:sz w:val="21"/>
          <w:szCs w:val="21"/>
        </w:rPr>
        <w:t xml:space="preserve">7</w:t>
      </w:r>
    </w:p>
    <w:p>
      <w:pPr>
        <w:keepLines/>
        <w:spacing w:after="40"/>
        <w:ind w:left="240"/>
      </w:pPr>
      <w:r>
        <w:rPr>
          <w:rFonts w:ascii="Georgia" w:cs="Georgia" w:eastAsia="Georgia" w:hAnsi="Georgia"/>
          <w:i/>
          <w:iCs/>
          <w:color w:val="667788"/>
          <w:sz w:val="18"/>
          <w:szCs w:val="18"/>
        </w:rPr>
        <w:t xml:space="preserve">Resultado das baterias depois das correções</w:t>
      </w:r>
    </w:p>
    <w:p>
      <w:r>
        <w:br w:type="page"/>
      </w:r>
    </w:p>
    <w:p>
      <w:pPr>
        <w:pStyle w:val="Heading1"/>
        <w:keepNext/>
        <w:keepLines/>
        <w:spacing w:after="40" w:before="320"/>
      </w:pPr>
      <w:r>
        <w:rPr>
          <w:rFonts w:ascii="Georgia" w:cs="Georgia" w:eastAsia="Georgia" w:hAnsi="Georgia"/>
          <w:b/>
          <w:bCs/>
          <w:color w:val="1B2A4E"/>
          <w:sz w:val="30"/>
          <w:szCs w:val="30"/>
        </w:rPr>
        <w:t xml:space="preserve">Resumo</w:t>
      </w:r>
    </w:p>
    <w:p>
      <w:pPr>
        <w:keepNext/>
        <w:pBdr>
          <w:bottom w:val="single" w:color="F2C811" w:sz="12" w:space="6"/>
        </w:pBdr>
        <w:spacing w:after="200"/>
      </w:pPr>
      <w:r>
        <w:rPr>
          <w:rFonts w:ascii="Georgia" w:cs="Georgia" w:eastAsia="Georgia" w:hAnsi="Georgia"/>
          <w:i/>
          <w:iCs/>
          <w:color w:val="8A6D00"/>
          <w:sz w:val="23"/>
          <w:szCs w:val="23"/>
        </w:rPr>
        <w:t xml:space="preserve">O que foi conferido e o resultado</w:t>
      </w:r>
    </w:p>
    <w:p>
      <w:pPr>
        <w:keepNext/>
        <w:keepLines/>
        <w:spacing w:after="140" w:line="300"/>
      </w:pP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O motor de cálculo do módulo de avaliação foi comparado, regra por regra, com o texto das normas enviadas. Onde havia diferença, o módulo foi corrigido e ganhou um teste próprio.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Normas usadas: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NBR 14653-1:2019, NBR 14653-2:2011 e NBR 14653-4:2002.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Regras corrigidas: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14, todas com a fonte indicada neste relatório.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Testes novos: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36 verificações das tabelas da norma, todas aprovadas.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Testes antigos: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continuam sem falha (plataforma, celular, nuvem e laudo).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Pendente: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imóveis rurais. A Parte 3 enviada é a edição de 2004, já revisada em 2019.</w:t>
      </w:r>
    </w:p>
    <w:p>
      <w:pPr>
        <w:spacing w:after="60"/>
      </w:pPr>
    </w:p>
    <w:tbl>
      <w:tblPr>
        <w:tblW w:type="dxa" w:w="9360"/>
        <w:tblBorders>
          <w:top w:val="none" w:color="FFFFFF" w:sz="0"/>
          <w:left w:val="single" w:color="F2C811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DC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keepNext/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8A6D00"/>
                <w:sz w:val="21"/>
                <w:szCs w:val="21"/>
              </w:rPr>
              <w:t xml:space="preserve">Direitos autorais</w:t>
            </w:r>
          </w:p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21"/>
                <w:szCs w:val="21"/>
              </w:rPr>
              <w:t xml:space="preserve">O módulo usa os critérios, os limites e as tabelas da norma, sempre com a citação do item. Nenhum trecho longo do texto da ABNT foi copiado para a plataforma ou para os laudos.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spacing w:after="40" w:before="320"/>
      </w:pPr>
      <w:r>
        <w:rPr>
          <w:rFonts w:ascii="Georgia" w:cs="Georgia" w:eastAsia="Georgia" w:hAnsi="Georgia"/>
          <w:b/>
          <w:bCs/>
          <w:color w:val="1B2A4E"/>
          <w:sz w:val="30"/>
          <w:szCs w:val="30"/>
        </w:rPr>
        <w:t xml:space="preserve">Normas recebidas</w:t>
      </w:r>
    </w:p>
    <w:p>
      <w:pPr>
        <w:keepNext/>
        <w:pBdr>
          <w:bottom w:val="single" w:color="F2C811" w:sz="12" w:space="6"/>
        </w:pBdr>
        <w:spacing w:after="200"/>
      </w:pPr>
      <w:r>
        <w:rPr>
          <w:rFonts w:ascii="Georgia" w:cs="Georgia" w:eastAsia="Georgia" w:hAnsi="Georgia"/>
          <w:i/>
          <w:iCs/>
          <w:color w:val="8A6D00"/>
          <w:sz w:val="23"/>
          <w:szCs w:val="23"/>
        </w:rPr>
        <w:t xml:space="preserve">Inventário dos 8 arquivos enviados</w:t>
      </w:r>
    </w:p>
    <w:p>
      <w:pPr>
        <w:keepNext w:val="false"/>
        <w:keepLines/>
        <w:spacing w:after="140" w:line="300"/>
      </w:pP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Dos 8 arquivos, três são edições antigas e dois são cópias iguais. A conferência usou a edição mais nova de cada parte.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557"/>
        <w:gridCol w:w="2808"/>
        <w:gridCol w:w="2995"/>
      </w:tblGrid>
      <w:tr>
        <w:trPr>
          <w:cantSplit/>
          <w:tblHeader/>
        </w:trPr>
        <w:tc>
          <w:tcPr>
            <w:tcW w:type="dxa" w:w="3557"/>
            <w:shd w:fill="1B2A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2808"/>
            <w:shd w:fill="1B2A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Norma e edição</w:t>
            </w:r>
          </w:p>
        </w:tc>
        <w:tc>
          <w:tcPr>
            <w:tcW w:type="dxa" w:w="2995"/>
            <w:shd w:fill="1B2A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Uso na conferência</w:t>
            </w:r>
          </w:p>
        </w:tc>
      </w:tr>
      <w:tr>
        <w:trPr>
          <w:cantSplit/>
        </w:trPr>
        <w:tc>
          <w:tcPr>
            <w:tcW w:type="dxa" w:w="35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ABNT-NBR-14653-1-2019 … PROCEDIMENTOS GERAIS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14653-1:2019, 2ª edição</w:t>
            </w:r>
          </w:p>
        </w:tc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Usada</w:t>
            </w:r>
          </w:p>
        </w:tc>
      </w:tr>
      <w:tr>
        <w:trPr>
          <w:cantSplit/>
        </w:trPr>
        <w:tc>
          <w:tcPr>
            <w:tcW w:type="dxa" w:w="35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NBR_14653-1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14653-1:2001</w:t>
            </w:r>
          </w:p>
        </w:tc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Substituída pela de 2019</w:t>
            </w:r>
          </w:p>
        </w:tc>
      </w:tr>
      <w:tr>
        <w:trPr>
          <w:cantSplit/>
        </w:trPr>
        <w:tc>
          <w:tcPr>
            <w:tcW w:type="dxa" w:w="35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ABNT-NBR-14653 … CONCEITOS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Glossário das Partes 1 a 4</w:t>
            </w:r>
          </w:p>
        </w:tc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Consulta de termos</w:t>
            </w:r>
          </w:p>
        </w:tc>
      </w:tr>
      <w:tr>
        <w:trPr>
          <w:cantSplit/>
        </w:trPr>
        <w:tc>
          <w:tcPr>
            <w:tcW w:type="dxa" w:w="35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NBR146532 – PARTE 02 (2 arquivos iguais)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14653-2:2011, 2ª edição, escaneada</w:t>
            </w:r>
          </w:p>
        </w:tc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Usada (texto por OCR e tabelas lidas na imagem)</w:t>
            </w:r>
          </w:p>
        </w:tc>
      </w:tr>
      <w:tr>
        <w:trPr>
          <w:cantSplit/>
        </w:trPr>
        <w:tc>
          <w:tcPr>
            <w:tcW w:type="dxa" w:w="35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NBR146532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14653-2:2004, 1ª edição</w:t>
            </w:r>
          </w:p>
        </w:tc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Substituída pela de 2011</w:t>
            </w:r>
          </w:p>
        </w:tc>
      </w:tr>
      <w:tr>
        <w:trPr>
          <w:cantSplit/>
        </w:trPr>
        <w:tc>
          <w:tcPr>
            <w:tcW w:type="dxa" w:w="35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ABNT NBR 14653-3 … IMÓVEIS RURAIS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14653-3:2004, 1ª edição</w:t>
            </w:r>
          </w:p>
        </w:tc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Não usada: há revisão de 2019</w:t>
            </w:r>
          </w:p>
        </w:tc>
      </w:tr>
      <w:tr>
        <w:trPr>
          <w:cantSplit/>
        </w:trPr>
        <w:tc>
          <w:tcPr>
            <w:tcW w:type="dxa" w:w="35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NBR 14653-4 – EMPREENDIMENTOS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14653-4:2002</w:t>
            </w:r>
          </w:p>
        </w:tc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Usada (método da renda)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single" w:color="C23A33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ECE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keepNext/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A1271F"/>
                <w:sz w:val="21"/>
                <w:szCs w:val="21"/>
              </w:rPr>
              <w:t xml:space="preserve">Falta a Parte 3 de 2019</w:t>
            </w:r>
          </w:p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21"/>
                <w:szCs w:val="21"/>
              </w:rPr>
              <w:t xml:space="preserve">A pontuação rural mudou na revisão de 2019. Para conferir os imóveis rurais, envie a NBR 14653-3:2019. Até lá, o módulo mostra no laudo que o enquadramento rural é provisório.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spacing w:after="40" w:before="320"/>
      </w:pPr>
      <w:r>
        <w:rPr>
          <w:rFonts w:ascii="Georgia" w:cs="Georgia" w:eastAsia="Georgia" w:hAnsi="Georgia"/>
          <w:b/>
          <w:bCs/>
          <w:color w:val="1B2A4E"/>
          <w:sz w:val="30"/>
          <w:szCs w:val="30"/>
        </w:rPr>
        <w:t xml:space="preserve">Como foi feita</w:t>
      </w:r>
    </w:p>
    <w:p>
      <w:pPr>
        <w:keepNext/>
        <w:pBdr>
          <w:bottom w:val="single" w:color="F2C811" w:sz="12" w:space="6"/>
        </w:pBdr>
        <w:spacing w:after="200"/>
      </w:pPr>
      <w:r>
        <w:rPr>
          <w:rFonts w:ascii="Georgia" w:cs="Georgia" w:eastAsia="Georgia" w:hAnsi="Georgia"/>
          <w:i/>
          <w:iCs/>
          <w:color w:val="8A6D00"/>
          <w:sz w:val="23"/>
          <w:szCs w:val="23"/>
        </w:rPr>
        <w:t xml:space="preserve">Método da conferência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Leitura das normas.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As Partes 1 e 4 têm texto. A Parte 2 de 2011 é escaneada: o texto saiu por OCR e as páginas das tabelas foram lidas na imagem, uma a uma.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Lista de regras.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Cada tabela, limite e exigência virou uma regra com o item da norma.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Comparação com o código.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Cada regra foi procurada no motor de cálculo, nas telas e no laudo em Word.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Correção.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As diferenças foram corrigidas no módulo, sempre citando o item da norma na tela e no laudo.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Teste.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Cada regra corrigida ganhou um caso de teste com números conhecidos. Depois, todas as baterias antigas rodaram de novo.</w:t>
      </w:r>
    </w:p>
    <w:p>
      <w:pPr>
        <w:spacing w:after="60"/>
      </w:pPr>
    </w:p>
    <w:p>
      <w:pPr>
        <w:pStyle w:val="Heading1"/>
        <w:keepNext/>
        <w:keepLines/>
        <w:spacing w:after="40" w:before="320"/>
      </w:pPr>
      <w:r>
        <w:rPr>
          <w:rFonts w:ascii="Georgia" w:cs="Georgia" w:eastAsia="Georgia" w:hAnsi="Georgia"/>
          <w:b/>
          <w:bCs/>
          <w:color w:val="1B2A4E"/>
          <w:sz w:val="30"/>
          <w:szCs w:val="30"/>
        </w:rPr>
        <w:t xml:space="preserve">Regras corrigidas</w:t>
      </w:r>
    </w:p>
    <w:p>
      <w:pPr>
        <w:keepNext/>
        <w:pBdr>
          <w:bottom w:val="single" w:color="F2C811" w:sz="12" w:space="6"/>
        </w:pBdr>
        <w:spacing w:after="200"/>
      </w:pPr>
      <w:r>
        <w:rPr>
          <w:rFonts w:ascii="Georgia" w:cs="Georgia" w:eastAsia="Georgia" w:hAnsi="Georgia"/>
          <w:i/>
          <w:iCs/>
          <w:color w:val="8A6D00"/>
          <w:sz w:val="23"/>
          <w:szCs w:val="23"/>
        </w:rPr>
        <w:t xml:space="preserve">Tratamento dos dados e enquadramento</w:t>
      </w:r>
    </w:p>
    <w:p>
      <w:pPr>
        <w:keepNext w:val="false"/>
        <w:keepLines/>
        <w:spacing w:after="140" w:line="300"/>
      </w:pP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As 14 diferenças encontradas estão abaixo. A primeira coluna traz o item da NBR 14653-2:2011, salvo indicação.</w:t>
      </w:r>
    </w:p>
    <w:p>
      <w:pPr>
        <w:pStyle w:val="Heading2"/>
        <w:keepNext/>
        <w:keepLines/>
        <w:spacing w:after="100" w:before="240"/>
      </w:pPr>
      <w:r>
        <w:rPr>
          <w:rFonts w:ascii="Georgia" w:cs="Georgia" w:eastAsia="Georgia" w:hAnsi="Georgia"/>
          <w:b/>
          <w:bCs/>
          <w:color w:val="1B2A4E"/>
          <w:sz w:val="24"/>
          <w:szCs w:val="24"/>
        </w:rPr>
        <w:t xml:space="preserve">Tratamento por fatores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46"/>
        <w:gridCol w:w="3370"/>
        <w:gridCol w:w="3744"/>
      </w:tblGrid>
      <w:tr>
        <w:trPr>
          <w:cantSplit/>
          <w:tblHeader/>
        </w:trPr>
        <w:tc>
          <w:tcPr>
            <w:tcW w:type="dxa" w:w="2246"/>
            <w:shd w:fill="1B2A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Item da norma</w:t>
            </w:r>
          </w:p>
        </w:tc>
        <w:tc>
          <w:tcPr>
            <w:tcW w:type="dxa" w:w="3370"/>
            <w:shd w:fill="1B2A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Como estava</w:t>
            </w:r>
          </w:p>
        </w:tc>
        <w:tc>
          <w:tcPr>
            <w:tcW w:type="dxa" w:w="3744"/>
            <w:shd w:fill="1B2A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Como ficou</w:t>
            </w:r>
          </w:p>
        </w:tc>
      </w:tr>
      <w:tr>
        <w:trPr>
          <w:cantSplit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Tabela 3, item 4</w:t>
            </w:r>
          </w:p>
        </w:tc>
        <w:tc>
          <w:tcPr>
            <w:tcW w:type="dxa" w:w="33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Conjunto de fatores fora de 0,50–2,00 recebia sempre 1 ponto</w:t>
            </w:r>
          </w:p>
        </w:tc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De 0,40 a 2,50 recebe 1 ponto; fora disso, nenhum. Com menos de 5 dados, só pontua de 0,80 a 1,25 (nota a)</w:t>
            </w:r>
          </w:p>
        </w:tc>
      </w:tr>
      <w:tr>
        <w:trPr>
          <w:cantSplit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Anexo B, B.2.2</w:t>
            </w:r>
          </w:p>
        </w:tc>
        <w:tc>
          <w:tcPr>
            <w:tcW w:type="dxa" w:w="33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Só o conjunto de fatores era conferido</w:t>
            </w:r>
          </w:p>
        </w:tc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Cada fator isolado precisa ficar entre 0,50 e 2,00; fora disso, o dado sai do cálculo</w:t>
            </w:r>
          </w:p>
        </w:tc>
      </w:tr>
      <w:tr>
        <w:trPr>
          <w:cantSplit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Anexo B, B.3</w:t>
            </w:r>
          </w:p>
        </w:tc>
        <w:tc>
          <w:tcPr>
            <w:tcW w:type="dxa" w:w="33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O saneamento retirava vários dados de uma vez</w:t>
            </w:r>
          </w:p>
        </w:tc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Retira um dado por vez, começando pelo mais distante da média, e admite a volta de dados retirados</w:t>
            </w:r>
          </w:p>
        </w:tc>
      </w:tr>
      <w:tr>
        <w:trPr>
          <w:cantSplit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9.2.1.1 e 9.2.2.1</w:t>
            </w:r>
          </w:p>
        </w:tc>
        <w:tc>
          <w:tcPr>
            <w:tcW w:type="dxa" w:w="33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O grau III não tinha as exigências adicionais</w:t>
            </w:r>
          </w:p>
        </w:tc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Nos fatores e na inferência, o grau III exige o endereço completo de todos os dados e o valor adotado igual à estimativa central</w:t>
            </w:r>
          </w:p>
        </w:tc>
      </w:tr>
    </w:tbl>
    <w:p>
      <w:pPr>
        <w:spacing w:after="140"/>
      </w:pPr>
    </w:p>
    <w:p>
      <w:pPr>
        <w:pStyle w:val="Heading2"/>
        <w:keepNext/>
        <w:keepLines/>
        <w:spacing w:after="100" w:before="240"/>
      </w:pPr>
      <w:r>
        <w:rPr>
          <w:rFonts w:ascii="Georgia" w:cs="Georgia" w:eastAsia="Georgia" w:hAnsi="Georgia"/>
          <w:b/>
          <w:bCs/>
          <w:color w:val="1B2A4E"/>
          <w:sz w:val="24"/>
          <w:szCs w:val="24"/>
        </w:rPr>
        <w:t xml:space="preserve">Inferência estatística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46"/>
        <w:gridCol w:w="3370"/>
        <w:gridCol w:w="3744"/>
      </w:tblGrid>
      <w:tr>
        <w:trPr>
          <w:cantSplit/>
          <w:tblHeader/>
        </w:trPr>
        <w:tc>
          <w:tcPr>
            <w:tcW w:type="dxa" w:w="2246"/>
            <w:shd w:fill="1B2A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Item da norma</w:t>
            </w:r>
          </w:p>
        </w:tc>
        <w:tc>
          <w:tcPr>
            <w:tcW w:type="dxa" w:w="3370"/>
            <w:shd w:fill="1B2A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Como estava</w:t>
            </w:r>
          </w:p>
        </w:tc>
        <w:tc>
          <w:tcPr>
            <w:tcW w:type="dxa" w:w="3744"/>
            <w:shd w:fill="1B2A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Como ficou</w:t>
            </w:r>
          </w:p>
        </w:tc>
      </w:tr>
      <w:tr>
        <w:trPr>
          <w:cantSplit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Tabela 1, item 4</w:t>
            </w:r>
          </w:p>
        </w:tc>
        <w:tc>
          <w:tcPr>
            <w:tcW w:type="dxa" w:w="33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No grau I, cada variável extrapolada era conferida sozinha</w:t>
            </w:r>
          </w:p>
        </w:tc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No grau I, confere cada variável e também todas ao mesmo tempo, com limite de 20%</w:t>
            </w:r>
          </w:p>
        </w:tc>
      </w:tr>
      <w:tr>
        <w:trPr>
          <w:cantSplit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9.2.1.1 b e 9.2.1.5</w:t>
            </w:r>
          </w:p>
        </w:tc>
        <w:tc>
          <w:tcPr>
            <w:tcW w:type="dxa" w:w="33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As elasticidades não eram calculadas</w:t>
            </w:r>
          </w:p>
        </w:tc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Elasticidade de cada variável no ponto de estimação, na tela e no laudo</w:t>
            </w:r>
          </w:p>
        </w:tc>
      </w:tr>
      <w:tr>
        <w:trPr>
          <w:cantSplit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8.2.1.4.1 e 10.1 k</w:t>
            </w:r>
          </w:p>
        </w:tc>
        <w:tc>
          <w:tcPr>
            <w:tcW w:type="dxa" w:w="33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Faltava o gráfico de preços observados × estimados</w:t>
            </w:r>
          </w:p>
        </w:tc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Gráfico na tela e no laudo, com a bissetriz</w:t>
            </w:r>
          </w:p>
        </w:tc>
      </w:tr>
      <w:tr>
        <w:trPr>
          <w:cantSplit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A.2.1.5.2</w:t>
            </w:r>
          </w:p>
        </w:tc>
        <w:tc>
          <w:tcPr>
            <w:tcW w:type="dxa" w:w="33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Só havia o VIF</w:t>
            </w:r>
          </w:p>
        </w:tc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Matriz de correlações, com alerta acima de 0,80</w:t>
            </w:r>
          </w:p>
        </w:tc>
      </w:tr>
    </w:tbl>
    <w:p>
      <w:pPr>
        <w:spacing w:after="140"/>
      </w:pPr>
    </w:p>
    <w:p>
      <w:pPr>
        <w:pStyle w:val="Heading2"/>
        <w:keepNext/>
        <w:keepLines/>
        <w:spacing w:after="100" w:before="240"/>
      </w:pPr>
      <w:r>
        <w:rPr>
          <w:rFonts w:ascii="Georgia" w:cs="Georgia" w:eastAsia="Georgia" w:hAnsi="Georgia"/>
          <w:b/>
          <w:bCs/>
          <w:color w:val="1B2A4E"/>
          <w:sz w:val="24"/>
          <w:szCs w:val="24"/>
        </w:rPr>
        <w:t xml:space="preserve">Outros métodos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46"/>
        <w:gridCol w:w="3370"/>
        <w:gridCol w:w="3744"/>
      </w:tblGrid>
      <w:tr>
        <w:trPr>
          <w:cantSplit/>
          <w:tblHeader/>
        </w:trPr>
        <w:tc>
          <w:tcPr>
            <w:tcW w:type="dxa" w:w="2246"/>
            <w:shd w:fill="1B2A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Item da norma</w:t>
            </w:r>
          </w:p>
        </w:tc>
        <w:tc>
          <w:tcPr>
            <w:tcW w:type="dxa" w:w="3370"/>
            <w:shd w:fill="1B2A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Como estava</w:t>
            </w:r>
          </w:p>
        </w:tc>
        <w:tc>
          <w:tcPr>
            <w:tcW w:type="dxa" w:w="3744"/>
            <w:shd w:fill="1B2A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Como ficou</w:t>
            </w:r>
          </w:p>
        </w:tc>
      </w:tr>
      <w:tr>
        <w:trPr>
          <w:cantSplit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Tabelas 6 e 7</w:t>
            </w:r>
          </w:p>
        </w:tc>
        <w:tc>
          <w:tcPr>
            <w:tcW w:type="dxa" w:w="33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A quantificação de custo não existia</w:t>
            </w:r>
          </w:p>
        </w:tc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O item 2 do evolutivo sai das Tabelas 6 e 7 (custo direto, BDI e depreciação)</w:t>
            </w:r>
          </w:p>
        </w:tc>
      </w:tr>
      <w:tr>
        <w:trPr>
          <w:cantSplit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Tabelas 10 e 11 e 9.5.2.1</w:t>
            </w:r>
          </w:p>
        </w:tc>
        <w:tc>
          <w:tcPr>
            <w:tcW w:type="dxa" w:w="33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Evolutivo enquadrado pelo menor item</w:t>
            </w:r>
          </w:p>
        </w:tc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8, 5 e 3 pontos; itens 1 e 2 obrigatórios; terreno ou benfeitoria abaixo de 15% do total recebe 2 pontos</w:t>
            </w:r>
          </w:p>
        </w:tc>
      </w:tr>
      <w:tr>
        <w:trPr>
          <w:cantSplit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Tabelas 8 e 9</w:t>
            </w:r>
          </w:p>
        </w:tc>
        <w:tc>
          <w:tcPr>
            <w:tcW w:type="dxa" w:w="33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Involutivo enquadrado pelo menor item</w:t>
            </w:r>
          </w:p>
        </w:tc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22, 13 e 9 pontos; itens 2, 6, 7 e 8 obrigatórios no grau pretendido</w:t>
            </w:r>
          </w:p>
        </w:tc>
      </w:tr>
      <w:tr>
        <w:trPr>
          <w:cantSplit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NBR 14653-4, Tabelas 4 e 5</w:t>
            </w:r>
          </w:p>
        </w:tc>
        <w:tc>
          <w:tcPr>
            <w:tcW w:type="dxa" w:w="33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Renda com 6 itens próprios, pelo menor</w:t>
            </w:r>
          </w:p>
        </w:tc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Os 9 itens da Parte 4, com as restrições da Tabela 5; séries históricas só para empreendimento em operação</w:t>
            </w:r>
          </w:p>
        </w:tc>
      </w:tr>
    </w:tbl>
    <w:p>
      <w:pPr>
        <w:spacing w:after="140"/>
      </w:pPr>
    </w:p>
    <w:p>
      <w:pPr>
        <w:pStyle w:val="Heading2"/>
        <w:keepNext/>
        <w:keepLines/>
        <w:spacing w:after="100" w:before="240"/>
      </w:pPr>
      <w:r>
        <w:rPr>
          <w:rFonts w:ascii="Georgia" w:cs="Georgia" w:eastAsia="Georgia" w:hAnsi="Georgia"/>
          <w:b/>
          <w:bCs/>
          <w:color w:val="1B2A4E"/>
          <w:sz w:val="24"/>
          <w:szCs w:val="24"/>
        </w:rPr>
        <w:t xml:space="preserve">Precisão e resultado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46"/>
        <w:gridCol w:w="3370"/>
        <w:gridCol w:w="3744"/>
      </w:tblGrid>
      <w:tr>
        <w:trPr>
          <w:cantSplit/>
          <w:tblHeader/>
        </w:trPr>
        <w:tc>
          <w:tcPr>
            <w:tcW w:type="dxa" w:w="2246"/>
            <w:shd w:fill="1B2A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Item da norma</w:t>
            </w:r>
          </w:p>
        </w:tc>
        <w:tc>
          <w:tcPr>
            <w:tcW w:type="dxa" w:w="3370"/>
            <w:shd w:fill="1B2A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Como estava</w:t>
            </w:r>
          </w:p>
        </w:tc>
        <w:tc>
          <w:tcPr>
            <w:tcW w:type="dxa" w:w="3744"/>
            <w:shd w:fill="1B2A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Como ficou</w:t>
            </w:r>
          </w:p>
        </w:tc>
      </w:tr>
      <w:tr>
        <w:trPr>
          <w:cantSplit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Tabela 5, nota</w:t>
            </w:r>
          </w:p>
        </w:tc>
        <w:tc>
          <w:tcPr>
            <w:tcW w:type="dxa" w:w="33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Amplitude acima de 50% bloqueava a emissão</w:t>
            </w:r>
          </w:p>
        </w:tc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Fica sem grau de precisão e exige justificativa com o diagnóstico do mercado</w:t>
            </w:r>
          </w:p>
        </w:tc>
      </w:tr>
      <w:tr>
        <w:trPr>
          <w:cantSplit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A.10 e NBR 14653-1:2019, 6.8.2</w:t>
            </w:r>
          </w:p>
        </w:tc>
        <w:tc>
          <w:tcPr>
            <w:tcW w:type="dxa" w:w="33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Não havia intervalo de valores admissíveis</w:t>
            </w:r>
          </w:p>
        </w:tc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Calculado (IC de 80% e campo de arbítrio) e apresentado no laudo, inclusive com valor arbitrado</w:t>
            </w:r>
          </w:p>
        </w:tc>
      </w:tr>
    </w:tbl>
    <w:p>
      <w:pPr>
        <w:spacing w:after="140"/>
      </w:pPr>
    </w:p>
    <w:p>
      <w:pPr>
        <w:pStyle w:val="Heading1"/>
        <w:keepNext/>
        <w:keepLines/>
        <w:spacing w:after="40" w:before="320"/>
      </w:pPr>
      <w:r>
        <w:rPr>
          <w:rFonts w:ascii="Georgia" w:cs="Georgia" w:eastAsia="Georgia" w:hAnsi="Georgia"/>
          <w:b/>
          <w:bCs/>
          <w:color w:val="1B2A4E"/>
          <w:sz w:val="30"/>
          <w:szCs w:val="30"/>
        </w:rPr>
        <w:t xml:space="preserve">Regras confirmadas</w:t>
      </w:r>
    </w:p>
    <w:p>
      <w:pPr>
        <w:keepNext/>
        <w:pBdr>
          <w:bottom w:val="single" w:color="F2C811" w:sz="12" w:space="6"/>
        </w:pBdr>
        <w:spacing w:after="200"/>
      </w:pPr>
      <w:r>
        <w:rPr>
          <w:rFonts w:ascii="Georgia" w:cs="Georgia" w:eastAsia="Georgia" w:hAnsi="Georgia"/>
          <w:i/>
          <w:iCs/>
          <w:color w:val="8A6D00"/>
          <w:sz w:val="23"/>
          <w:szCs w:val="23"/>
        </w:rPr>
        <w:t xml:space="preserve">O que já estava de acordo com a norma</w:t>
      </w:r>
    </w:p>
    <w:p>
      <w:pPr>
        <w:keepNext/>
        <w:keepLines/>
        <w:spacing w:after="140" w:line="300"/>
      </w:pP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Estas regras foram conferidas e já estavam certas no módulo:</w:t>
      </w:r>
    </w:p>
    <w:p>
      <w:pPr>
        <w:pStyle w:val="ListParagraph"/>
        <w:keepNext w:val="false"/>
        <w:keepLines/>
        <w:numPr>
          <w:ilvl w:val="0"/>
          <w:numId w:val="4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Tabela 1, itens 2, 5 e 6: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3(k+1), 4(k+1) e 6(k+1) dados; significância dos regressores de 10%, 20% e 30%; teste F de 1%, 2% e 5%.</w:t>
      </w:r>
    </w:p>
    <w:p>
      <w:pPr>
        <w:pStyle w:val="ListParagraph"/>
        <w:keepNext w:val="false"/>
        <w:keepLines/>
        <w:numPr>
          <w:ilvl w:val="0"/>
          <w:numId w:val="4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Tabela 2: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16, 10 e 6 pontos, com os itens 2, 4, 5 e 6 obrigatórios.</w:t>
      </w:r>
    </w:p>
    <w:p>
      <w:pPr>
        <w:pStyle w:val="ListParagraph"/>
        <w:keepNext w:val="false"/>
        <w:keepLines/>
        <w:numPr>
          <w:ilvl w:val="0"/>
          <w:numId w:val="4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Tabela 4: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10, 6 e 4 pontos, com os itens 2 e 4 obrigatórios.</w:t>
      </w:r>
    </w:p>
    <w:p>
      <w:pPr>
        <w:pStyle w:val="ListParagraph"/>
        <w:keepNext w:val="false"/>
        <w:keepLines/>
        <w:numPr>
          <w:ilvl w:val="0"/>
          <w:numId w:val="4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Tabela 5: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amplitude do intervalo de confiança de 80% até 30%, 40% e 50%.</w:t>
      </w:r>
    </w:p>
    <w:p>
      <w:pPr>
        <w:pStyle w:val="ListParagraph"/>
        <w:keepNext w:val="false"/>
        <w:keepLines/>
        <w:numPr>
          <w:ilvl w:val="0"/>
          <w:numId w:val="4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Anexo A, A.2 a):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micronumerosidade, n ≥ 3(k+1) e mínimo de dados por grupo das variáveis dicotômicas.</w:t>
      </w:r>
    </w:p>
    <w:p>
      <w:pPr>
        <w:pStyle w:val="ListParagraph"/>
        <w:keepNext w:val="false"/>
        <w:keepLines/>
        <w:numPr>
          <w:ilvl w:val="0"/>
          <w:numId w:val="4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Anexo A, A.5 a A.9: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dicotômicas sem extrapolação; variável dependente apresentada sem transformação.</w:t>
      </w:r>
    </w:p>
    <w:p>
      <w:pPr>
        <w:pStyle w:val="ListParagraph"/>
        <w:keepNext w:val="false"/>
        <w:keepLines/>
        <w:numPr>
          <w:ilvl w:val="0"/>
          <w:numId w:val="4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8.2.1.5: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campo de arbítrio de 15% para mais e para menos, com justificativa.</w:t>
      </w:r>
    </w:p>
    <w:p>
      <w:pPr>
        <w:pStyle w:val="ListParagraph"/>
        <w:keepNext w:val="false"/>
        <w:keepLines/>
        <w:numPr>
          <w:ilvl w:val="0"/>
          <w:numId w:val="4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NBR 14653-1:2019, 6.8.1: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arredondamento de até 1%.</w:t>
      </w:r>
    </w:p>
    <w:p>
      <w:pPr>
        <w:pStyle w:val="ListParagraph"/>
        <w:keepNext w:val="false"/>
        <w:keepLines/>
        <w:numPr>
          <w:ilvl w:val="0"/>
          <w:numId w:val="4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NBR 14653-1:2019, item 9: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itens mínimos do laudo. O local de emissão passou a ser editável (antes era sempre Brasília/DF).</w:t>
      </w:r>
    </w:p>
    <w:p>
      <w:pPr>
        <w:spacing w:after="60"/>
      </w:pPr>
    </w:p>
    <w:p>
      <w:pPr>
        <w:pStyle w:val="Heading1"/>
        <w:keepNext/>
        <w:keepLines/>
        <w:spacing w:after="40" w:before="320"/>
      </w:pPr>
      <w:r>
        <w:rPr>
          <w:rFonts w:ascii="Georgia" w:cs="Georgia" w:eastAsia="Georgia" w:hAnsi="Georgia"/>
          <w:b/>
          <w:bCs/>
          <w:color w:val="1B2A4E"/>
          <w:sz w:val="30"/>
          <w:szCs w:val="30"/>
        </w:rPr>
        <w:t xml:space="preserve">Pendências</w:t>
      </w:r>
    </w:p>
    <w:p>
      <w:pPr>
        <w:keepNext/>
        <w:pBdr>
          <w:bottom w:val="single" w:color="F2C811" w:sz="12" w:space="6"/>
        </w:pBdr>
        <w:spacing w:after="200"/>
      </w:pPr>
      <w:r>
        <w:rPr>
          <w:rFonts w:ascii="Georgia" w:cs="Georgia" w:eastAsia="Georgia" w:hAnsi="Georgia"/>
          <w:i/>
          <w:iCs/>
          <w:color w:val="8A6D00"/>
          <w:sz w:val="23"/>
          <w:szCs w:val="23"/>
        </w:rPr>
        <w:t xml:space="preserve">O que depende de material ou de decisão</w:t>
      </w:r>
    </w:p>
    <w:p>
      <w:pPr>
        <w:pStyle w:val="ListParagraph"/>
        <w:keepNext/>
        <w:keepLines/>
        <w:numPr>
          <w:ilvl w:val="0"/>
          <w:numId w:val="5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Imóveis rurais.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Enviar a NBR 14653-3:2019. A edição de 2004 usa outra lógica: soma de 10 itens, com 12, 36 e 71 pontos, e outra escala de precisão. Aplicar a edição antiga agora poderia deixar o módulo em desacordo com a vigente.</w:t>
      </w:r>
    </w:p>
    <w:p>
      <w:pPr>
        <w:pStyle w:val="ListParagraph"/>
        <w:keepNext/>
        <w:keepLines/>
        <w:numPr>
          <w:ilvl w:val="0"/>
          <w:numId w:val="5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Parte 4.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A cópia enviada é de 2002. Se houver edição mais nova, vale enviar para conferir o método da renda.</w:t>
      </w:r>
    </w:p>
    <w:p>
      <w:pPr>
        <w:pStyle w:val="ListParagraph"/>
        <w:keepNext/>
        <w:keepLines/>
        <w:numPr>
          <w:ilvl w:val="0"/>
          <w:numId w:val="5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Compêndio metodológico.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O documento em Word foi escrito antes desta conferência. Vale revisá-lo com as mesmas regras e referências deste relatório.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80" w:line="290"/>
      </w:pPr>
      <w:r>
        <w:rPr>
          <w:rFonts w:ascii="Georgia" w:cs="Georgia" w:eastAsia="Georgia" w:hAnsi="Georgia"/>
          <w:b/>
          <w:bCs/>
          <w:color w:val="22303F"/>
          <w:sz w:val="21"/>
          <w:szCs w:val="21"/>
        </w:rPr>
        <w:t xml:space="preserve">Próximos materiais.</w:t>
      </w:r>
      <w:r>
        <w:rPr>
          <w:rFonts w:ascii="Georgia" w:cs="Georgia" w:eastAsia="Georgia" w:hAnsi="Georgia"/>
          <w:b w:val="false"/>
          <w:bCs w:val="false"/>
          <w:color w:val="22303F"/>
          <w:sz w:val="21"/>
          <w:szCs w:val="21"/>
        </w:rPr>
        <w:t xml:space="preserve"> Os livros e as normas do IBAPE da lista anterior completam os fatores de homogeneização e a depreciação, que a ABNT não define.</w:t>
      </w:r>
    </w:p>
    <w:p>
      <w:pPr>
        <w:spacing w:after="60"/>
      </w:pPr>
    </w:p>
    <w:p>
      <w:pPr>
        <w:pStyle w:val="Heading1"/>
        <w:keepNext/>
        <w:keepLines/>
        <w:spacing w:after="40" w:before="320"/>
      </w:pPr>
      <w:r>
        <w:rPr>
          <w:rFonts w:ascii="Georgia" w:cs="Georgia" w:eastAsia="Georgia" w:hAnsi="Georgia"/>
          <w:b/>
          <w:bCs/>
          <w:color w:val="1B2A4E"/>
          <w:sz w:val="30"/>
          <w:szCs w:val="30"/>
        </w:rPr>
        <w:t xml:space="preserve">Testes</w:t>
      </w:r>
    </w:p>
    <w:p>
      <w:pPr>
        <w:keepNext/>
        <w:pBdr>
          <w:bottom w:val="single" w:color="F2C811" w:sz="12" w:space="6"/>
        </w:pBdr>
        <w:spacing w:after="200"/>
      </w:pPr>
      <w:r>
        <w:rPr>
          <w:rFonts w:ascii="Georgia" w:cs="Georgia" w:eastAsia="Georgia" w:hAnsi="Georgia"/>
          <w:i/>
          <w:iCs/>
          <w:color w:val="8A6D00"/>
          <w:sz w:val="23"/>
          <w:szCs w:val="23"/>
        </w:rPr>
        <w:t xml:space="preserve">Resultado das baterias depois das correções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6084"/>
        <w:gridCol w:w="3276"/>
      </w:tblGrid>
      <w:tr>
        <w:trPr>
          <w:cantSplit/>
          <w:tblHeader/>
        </w:trPr>
        <w:tc>
          <w:tcPr>
            <w:tcW w:type="dxa" w:w="6084"/>
            <w:shd w:fill="1B2A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Bateria</w:t>
            </w:r>
          </w:p>
        </w:tc>
        <w:tc>
          <w:tcPr>
            <w:tcW w:type="dxa" w:w="3276"/>
            <w:shd w:fill="1B2A4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6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Regras da NBR 14653 no cálculo (novo)</w:t>
            </w:r>
          </w:p>
        </w:tc>
        <w:tc>
          <w:tcPr>
            <w:tcW w:type="dxa" w:w="32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36 de 36</w:t>
            </w:r>
          </w:p>
        </w:tc>
      </w:tr>
      <w:tr>
        <w:trPr>
          <w:cantSplit/>
        </w:trPr>
        <w:tc>
          <w:tcPr>
            <w:tcW w:type="dxa" w:w="6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Banco de dados (SQL 160)</w:t>
            </w:r>
          </w:p>
        </w:tc>
        <w:tc>
          <w:tcPr>
            <w:tcW w:type="dxa" w:w="32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48 de 48</w:t>
            </w:r>
          </w:p>
        </w:tc>
      </w:tr>
      <w:tr>
        <w:trPr>
          <w:cantSplit/>
        </w:trPr>
        <w:tc>
          <w:tcPr>
            <w:tcW w:type="dxa" w:w="6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Plataforma real com o módulo, computador</w:t>
            </w:r>
          </w:p>
        </w:tc>
        <w:tc>
          <w:tcPr>
            <w:tcW w:type="dxa" w:w="32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77 de 77</w:t>
            </w:r>
          </w:p>
        </w:tc>
      </w:tr>
      <w:tr>
        <w:trPr>
          <w:cantSplit/>
        </w:trPr>
        <w:tc>
          <w:tcPr>
            <w:tcW w:type="dxa" w:w="6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Plataforma real com o módulo, celular</w:t>
            </w:r>
          </w:p>
        </w:tc>
        <w:tc>
          <w:tcPr>
            <w:tcW w:type="dxa" w:w="32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77 de 77</w:t>
            </w:r>
          </w:p>
        </w:tc>
      </w:tr>
      <w:tr>
        <w:trPr>
          <w:cantSplit/>
        </w:trPr>
        <w:tc>
          <w:tcPr>
            <w:tcW w:type="dxa" w:w="6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Versão avulsa, telas no computador e no celular</w:t>
            </w:r>
          </w:p>
        </w:tc>
        <w:tc>
          <w:tcPr>
            <w:tcW w:type="dxa" w:w="32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492 e 499, sem falha</w:t>
            </w:r>
          </w:p>
        </w:tc>
      </w:tr>
      <w:tr>
        <w:trPr>
          <w:cantSplit/>
        </w:trPr>
        <w:tc>
          <w:tcPr>
            <w:tcW w:type="dxa" w:w="6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Versão avulsa, nuvem</w:t>
            </w:r>
          </w:p>
        </w:tc>
        <w:tc>
          <w:tcPr>
            <w:tcW w:type="dxa" w:w="32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89 de 89</w:t>
            </w:r>
          </w:p>
        </w:tc>
      </w:tr>
      <w:tr>
        <w:trPr>
          <w:cantSplit/>
        </w:trPr>
        <w:tc>
          <w:tcPr>
            <w:tcW w:type="dxa" w:w="60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Laudos em Word de 6 avaliações de exemplo</w:t>
            </w:r>
          </w:p>
        </w:tc>
        <w:tc>
          <w:tcPr>
            <w:tcW w:type="dxa" w:w="32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19"/>
                <w:szCs w:val="19"/>
              </w:rPr>
              <w:t xml:space="preserve">gerados, sem página quase vazia nem título no fim da página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single" w:color="F2C811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DC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keepNext/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8A6D00"/>
                <w:sz w:val="21"/>
                <w:szCs w:val="21"/>
              </w:rPr>
              <w:t xml:space="preserve">Onde está cada coisa</w:t>
            </w:r>
          </w:p>
          <w:p>
            <w:pPr>
              <w:spacing w:after="0" w:line="290"/>
            </w:pPr>
            <w:r>
              <w:rPr>
                <w:rFonts w:ascii="Georgia" w:cs="Georgia" w:eastAsia="Georgia" w:hAnsi="Georgia"/>
                <w:b w:val="false"/>
                <w:bCs w:val="false"/>
                <w:color w:val="22303F"/>
                <w:sz w:val="21"/>
                <w:szCs w:val="21"/>
              </w:rPr>
              <w:t xml:space="preserve">O relatório vai no pacote SOLIDUNS_v83-AVA_2026-10-09.zip, com o teste novo (5_TESTES/t_nbr.py) e a auditoria atualizada (AUDITORIA_v83-AVA.md).</w:t>
            </w:r>
          </w:p>
        </w:tc>
      </w:tr>
    </w:tbl>
    <w:p>
      <w:pPr>
        <w:spacing w:after="120"/>
      </w:pPr>
    </w:p>
    <w:sectPr>
      <w:headerReference w:type="default" r:id="rId9"/>
      <w:footerReference w:type="default" r:id="rId10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6677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C811" w:sz="4" w:space="4"/>
      </w:pBdr>
      <w:jc w:val="right"/>
    </w:pPr>
    <w:r>
      <w:rPr>
        <w:rFonts w:ascii="Georgia" w:cs="Georgia" w:eastAsia="Georgia" w:hAnsi="Georgia"/>
        <w:color w:val="667788"/>
        <w:sz w:val="15"/>
        <w:szCs w:val="15"/>
      </w:rPr>
      <w:t xml:space="preserve">SOLIDUNS · Conferência do módulo com a NBR 14653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300"/>
      </w:pPr>
      <w:rPr>
        <w:color w:val="C9A50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  <w:rPr>
        <w:rFonts w:ascii="Georgia" w:cs="Georgia" w:eastAsia="Georgia" w:hAnsi="Georgia"/>
        <w:b/>
        <w:bCs/>
        <w:color w:val="1B2A4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2303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b/>
      <w:bCs/>
      <w:color w:val="1B2A4E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Georgia" w:cs="Georgia" w:eastAsia="Georgia" w:hAnsi="Georgia"/>
      <w:b/>
      <w:bCs/>
      <w:color w:val="1B2A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ef61f830f3c33635b9b0297033976b3fa376c02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Conferência com a NBR 14653 — SOLIDUNS v83-AVA</dc:title>
  <dc:creator>SOLIDUNS</dc:creator>
  <cp:lastModifiedBy>Un-named</cp:lastModifiedBy>
  <cp:revision>1</cp:revision>
  <dcterms:created xsi:type="dcterms:W3CDTF">2026-10-10T04:59:18.456Z</dcterms:created>
  <dcterms:modified xsi:type="dcterms:W3CDTF">2026-10-10T04:59:18.456Z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