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"/>
          <w:footerReference w:type="default" r:id="rId8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keepNext/>
      </w:pPr>
      <w:r>
        <w:t xml:space="preserve">Sumário</w:t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1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1. Identificação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sec1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2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2. Objeto e finalidade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sec2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3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3. Pressupostos e ressalvas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sec3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4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4. Diligências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sec4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5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5. Caracterização do imóvel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sec5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6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6. Diagnóstico de mercado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sec6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7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7. Metodologia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sec7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8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8. Memória de cálculo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sec8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9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9. Especificação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sec9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10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10. Resultado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sec10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11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11. Respostas aos quesitos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sec11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12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12. Encerramento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sec12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13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Anexo A — Relatório fotográfico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sec13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14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Anexo B — Dados de mercado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sec14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15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Anexo C — Trilha de decisões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sec15</w:instrText>
        <w:fldChar w:fldCharType="end"/>
      </w:r>
    </w:p>
    <w:p>
      <w:pPr>
        <w:keepNext/>
        <w:keepLines/>
        <w:tabs>
          <w:tab w:val="right" w:pos="9360" w:leader="dot"/>
        </w:tabs>
        <w:spacing w:after="50"/>
      </w:pPr>
      <w:hyperlink w:history="1" w:anchor="sec16">
        <w:r>
          <w:rPr>
            <w:rFonts w:ascii="Georgia" w:cs="Georgia" w:eastAsia="Georgia" w:hAnsi="Georgia"/>
            <w:color w:val="22303F"/>
            <w:sz w:val="20"/>
            <w:szCs w:val="20"/>
          </w:rPr>
          <w:t xml:space="preserve">Anexo D — Gates da avaliação</w:t>
        </w:r>
      </w:hyperlink>
      <w:r>
        <w:rPr>
          <w:sz w:val="20"/>
          <w:szCs w:val="20"/>
        </w:rPr>
        <w:tab/>
      </w:r>
      <w:r>
        <w:fldChar w:fldCharType="begin" w:dirty="true"/>
        <w:instrText xml:space="preserve">PAGEREF sec16</w:instrText>
        <w:fldChar w:fldCharType="end"/>
      </w:r>
    </w:p>
    <w:p>
      <w:r>
        <w:br w:type="page"/>
      </w:r>
    </w:p>
    <w:p>
      <w:pPr>
        <w:pStyle w:val="Heading1"/>
        <w:keepNext/>
        <w:keepLines/>
      </w:pPr>
      <w:bookmarkStart w:name="sec1" w:id="1"/>
      <w:r>
        <w:t xml:space="preserve">1. Identificação</w:t>
      </w:r>
      <w:bookmarkEnd w:id="1"/>
    </w:p>
    <w:tbl>
      <w:tblPr>
        <w:tblW w:type="dxa" w:w="9360"/>
        <w:tblBorders>
          <w:top w:val="single" w:color="1B2A4E" w:sz="6"/>
          <w:left w:val="none" w:color="FFFFFF" w:sz="0"/>
          <w:bottom w:val="single" w:color="1B2A4E" w:sz="6"/>
          <w:right w:val="none" w:color="FFFFFF" w:sz="0"/>
          <w:insideH w:val="single" w:color="E2E8F0" w:sz="2"/>
          <w:insideV w:val="none" w:color="FFFFFF" w:sz="0"/>
        </w:tblBorders>
      </w:tblPr>
      <w:tblGrid>
        <w:gridCol w:w="2246"/>
        <w:gridCol w:w="7114"/>
      </w:tblGrid>
      <w:tr>
        <w:trPr>
          <w:cantSplit/>
          <w:tblHeader/>
        </w:trPr>
        <w:tc>
          <w:tcPr>
            <w:tcW w:type="dxa" w:w="2246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114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Juízo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2ª Vara Cível de Águas Claras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Processo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0712345-67.2026.8.07.0020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Partes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Espólio de J. A. S. × M. R. S.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Perito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Ana Souza Perita · CREA-DF 12345/D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Habilitação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Engenheiro civil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Código interno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AV-2026-014</w:t>
            </w:r>
          </w:p>
        </w:tc>
      </w:tr>
    </w:tbl>
    <w:p>
      <w:pPr>
        <w:keepNext w:val="false"/>
        <w:spacing w:after="100"/>
      </w:pPr>
    </w:p>
    <w:p>
      <w:pPr>
        <w:pStyle w:val="Heading1"/>
        <w:keepNext/>
        <w:keepLines/>
      </w:pPr>
      <w:bookmarkStart w:name="sec2" w:id="1"/>
      <w:r>
        <w:t xml:space="preserve">2. Objeto e finalidade</w:t>
      </w:r>
      <w:bookmarkEnd w:id="1"/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O objeto desta perícia é a avaliação de </w:t>
      </w: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Apartamento 3 quartos — Rua 31 Norte, Águas Claras/DF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Finalidade: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Partilha judicial.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Objetivo: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valor de mercado.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Data de referência: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04/10/2026.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Segmento: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imóvel urbano, ABNT NBR 14653-2.</w:t>
      </w:r>
    </w:p>
    <w:p>
      <w:pPr>
        <w:pStyle w:val="Heading1"/>
        <w:keepNext/>
        <w:keepLines/>
      </w:pPr>
      <w:bookmarkStart w:name="sec3" w:id="1"/>
      <w:r>
        <w:t xml:space="preserve">3. Pressupostos e ressalvas</w:t>
      </w:r>
      <w:bookmarkEnd w:id="1"/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O trabalho adotou os pressupostos abaixo: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Área de cálculo: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80,00 m², documental.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Documentação: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considerada verdadeira e válida, sem verificação de autenticidade além da conferência registral.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Ônus e passivos: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o valor considera o imóvel livre de ônus, salvo o que estiver registrado neste laudo.</w:t>
      </w:r>
    </w:p>
    <w:p>
      <w:pPr>
        <w:pStyle w:val="Heading1"/>
        <w:keepNext/>
        <w:keepLines/>
        <w:pageBreakBefore/>
      </w:pPr>
      <w:bookmarkStart w:name="sec4" w:id="1"/>
      <w:r>
        <w:t xml:space="preserve">4. Diligências</w:t>
      </w:r>
      <w:bookmarkEnd w:id="1"/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As diligências seguiram o rito dos arts. 466 e 474 do CPC: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Comunicação às partes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em 24/09/2026, com antecedência de 9 dias.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Vistoria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em 03/10/2026, com a presença de Assistente técnico do autor.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Documentos examinados: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matrícula 123.456 — 3º RI/DF, certidão de 04/10/2026.</w:t>
      </w:r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O relatório fotográfico, com 2 fotos datadas e georreferenciadas, está no Anexo A.</w:t>
      </w:r>
    </w:p>
    <w:p>
      <w:pPr>
        <w:pStyle w:val="Heading1"/>
        <w:keepNext/>
        <w:keepLines/>
      </w:pPr>
      <w:bookmarkStart w:name="sec5" w:id="1"/>
      <w:r>
        <w:t xml:space="preserve">5. Caracterização do imóvel</w:t>
      </w:r>
      <w:bookmarkEnd w:id="1"/>
    </w:p>
    <w:tbl>
      <w:tblPr>
        <w:tblW w:type="dxa" w:w="9360"/>
        <w:tblBorders>
          <w:top w:val="single" w:color="1B2A4E" w:sz="6"/>
          <w:left w:val="none" w:color="FFFFFF" w:sz="0"/>
          <w:bottom w:val="single" w:color="1B2A4E" w:sz="6"/>
          <w:right w:val="none" w:color="FFFFFF" w:sz="0"/>
          <w:insideH w:val="single" w:color="E2E8F0" w:sz="2"/>
          <w:insideV w:val="none" w:color="FFFFFF" w:sz="0"/>
        </w:tblBorders>
      </w:tblPr>
      <w:tblGrid>
        <w:gridCol w:w="2808"/>
        <w:gridCol w:w="6552"/>
      </w:tblGrid>
      <w:tr>
        <w:trPr>
          <w:cantSplit/>
          <w:tblHeader/>
        </w:trPr>
        <w:tc>
          <w:tcPr>
            <w:tcW w:type="dxa" w:w="2808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Característica</w:t>
            </w:r>
          </w:p>
        </w:tc>
        <w:tc>
          <w:tcPr>
            <w:tcW w:type="dxa" w:w="6552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Identificação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Apartamento 3 quartos — Rua 31 Norte, Águas Claras/DF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Tipologia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Apartamento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Área documental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80,00 m²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Área medida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81,20 m²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Área adotada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80,00 m²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Padrão construtivo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Idade aparente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12 anos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Estado de conservação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C — Regular</w:t>
            </w:r>
          </w:p>
        </w:tc>
      </w:tr>
    </w:tbl>
    <w:p>
      <w:pPr>
        <w:keepNext w:val="false"/>
        <w:spacing w:after="100"/>
      </w:pPr>
    </w:p>
    <w:p>
      <w:pPr>
        <w:pStyle w:val="Heading1"/>
        <w:keepNext/>
        <w:keepLines/>
      </w:pPr>
      <w:bookmarkStart w:name="sec6" w:id="1"/>
      <w:r>
        <w:t xml:space="preserve">6. Diagnóstico de mercado</w:t>
      </w:r>
      <w:bookmarkEnd w:id="1"/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O mercado do segmento apresenta: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Liquidez: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normal.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Desempenho: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normal.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Absorção: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normal.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70" w:line="268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Amostra pesquisada: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12 dados de mercado.</w:t>
      </w:r>
    </w:p>
    <w:p>
      <w:pPr>
        <w:pStyle w:val="Heading1"/>
        <w:keepNext/>
        <w:keepLines/>
        <w:pageBreakBefore/>
      </w:pPr>
      <w:bookmarkStart w:name="sec7" w:id="1"/>
      <w:r>
        <w:t xml:space="preserve">7. Metodologia</w:t>
      </w:r>
      <w:bookmarkEnd w:id="1"/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Adotou-se o método </w:t>
      </w: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Comparativo direto — fatores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, conforme a ABNT NBR 14653-2.</w:t>
      </w:r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Há 11 dados semelhantes aptos após saneamento, em mercado ativo para a tipologia. A NBR 14653-2 prefere o método comparativo direto nessa condição. Para a inferência estatística, preencha as variáveis dos dados na F4 (mínimo de 20 dados completos para grau II).</w:t>
      </w:r>
    </w:p>
    <w:p>
      <w:pPr>
        <w:pStyle w:val="Heading1"/>
        <w:keepNext/>
        <w:keepLines/>
      </w:pPr>
      <w:bookmarkStart w:name="sec8" w:id="1"/>
      <w:r>
        <w:t xml:space="preserve">8. Memória de cálculo</w:t>
      </w:r>
      <w:bookmarkEnd w:id="1"/>
    </w:p>
    <w:p>
      <w:pPr>
        <w:keepNext/>
        <w:keepLines/>
        <w:pBdr>
          <w:left w:val="single" w:color="1B2A4E" w:sz="12" w:space="4"/>
        </w:pBdr>
        <w:shd w:fill="F1F5F9" w:color="auto" w:val="clear"/>
        <w:spacing w:after="100" w:before="140"/>
        <w:jc w:val="center"/>
      </w:pPr>
      <w:r>
        <w:rPr>
          <w:rFonts w:ascii="Cambria Math" w:cs="Cambria Math" w:eastAsia="Cambria Math" w:hAnsi="Cambria Math"/>
          <w:color w:val="1B2A4E"/>
          <w:sz w:val="22"/>
          <w:szCs w:val="22"/>
        </w:rPr>
        <w:t xml:space="preserve">Vu,hom = Vu × Fo × [ 1 + Σ (Fi − 1) ]</w:t>
      </w:r>
    </w:p>
    <w:p>
      <w:pPr>
        <w:keepNext/>
        <w:keepLines/>
        <w:spacing w:after="60" w:line="264"/>
        <w:jc w:val="both"/>
      </w:pPr>
      <w:r>
        <w:rPr>
          <w:rFonts w:ascii="Georgia" w:cs="Georgia" w:eastAsia="Georgia" w:hAnsi="Georgia"/>
          <w:b/>
          <w:bCs/>
          <w:color w:val="1B2A4E"/>
          <w:sz w:val="19"/>
          <w:szCs w:val="19"/>
        </w:rPr>
        <w:t xml:space="preserve">Leitura: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"Vu,hom"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é o valor unitário homogeneizado;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"Vu"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é o valor unitário do dado;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"Fo"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é o fator de oferta, igual a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"0,90"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para ofertas e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"1"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para transações;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"Fi"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é cada fator de ajuste;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"Σ"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soma os efeitos dos fatores.</w:t>
      </w:r>
    </w:p>
    <w:p>
      <w:pPr>
        <w:keepNext w:val="false"/>
        <w:keepLines/>
        <w:spacing w:after="160" w:line="264"/>
        <w:jc w:val="both"/>
      </w:pPr>
      <w:r>
        <w:rPr>
          <w:rFonts w:ascii="Georgia" w:cs="Georgia" w:eastAsia="Georgia" w:hAnsi="Georgia"/>
          <w:b/>
          <w:bCs/>
          <w:color w:val="8A6D00"/>
          <w:sz w:val="19"/>
          <w:szCs w:val="19"/>
        </w:rPr>
        <w:t xml:space="preserve">Em linguagem simples: 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cada imóvel comparado tem seu preço por metro quadrado ajustado para ficar equivalente ao imóvel avaliado.</w:t>
      </w:r>
    </w:p>
    <w:tbl>
      <w:tblPr>
        <w:tblW w:type="dxa" w:w="9360"/>
        <w:tblBorders>
          <w:top w:val="single" w:color="1B2A4E" w:sz="6"/>
          <w:left w:val="none" w:color="FFFFFF" w:sz="0"/>
          <w:bottom w:val="single" w:color="1B2A4E" w:sz="6"/>
          <w:right w:val="none" w:color="FFFFFF" w:sz="0"/>
          <w:insideH w:val="single" w:color="E2E8F0" w:sz="2"/>
          <w:insideV w:val="none" w:color="FFFFFF" w:sz="0"/>
        </w:tblBorders>
      </w:tblPr>
      <w:tblGrid>
        <w:gridCol w:w="1101"/>
        <w:gridCol w:w="1468"/>
        <w:gridCol w:w="1651"/>
        <w:gridCol w:w="1284"/>
        <w:gridCol w:w="1651"/>
        <w:gridCol w:w="2205"/>
      </w:tblGrid>
      <w:tr>
        <w:trPr>
          <w:cantSplit/>
          <w:tblHeader/>
        </w:trPr>
        <w:tc>
          <w:tcPr>
            <w:tcW w:type="dxa" w:w="1101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Dado</w:t>
            </w:r>
          </w:p>
        </w:tc>
        <w:tc>
          <w:tcPr>
            <w:tcW w:type="dxa" w:w="1468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Natureza</w:t>
            </w:r>
          </w:p>
        </w:tc>
        <w:tc>
          <w:tcPr>
            <w:tcW w:type="dxa" w:w="1651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Vu</w:t>
            </w:r>
          </w:p>
        </w:tc>
        <w:tc>
          <w:tcPr>
            <w:tcW w:type="dxa" w:w="1284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Conjunto</w:t>
            </w:r>
          </w:p>
        </w:tc>
        <w:tc>
          <w:tcPr>
            <w:tcW w:type="dxa" w:w="1651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Vu,hom</w:t>
            </w:r>
          </w:p>
        </w:tc>
        <w:tc>
          <w:tcPr>
            <w:tcW w:type="dxa" w:w="2205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D01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9.743,59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1,000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8.769,23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D02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9.764,71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1,000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8.788,24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D03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Transação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9.097,22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1,050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9.552,08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D04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10.055,56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0,950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8.597,50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D05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9.625,00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1,020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8.835,75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D06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Transação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9.210,53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1,050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9.671,05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D07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9.909,09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0,980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8.739,82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D08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9.695,12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1,000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8.725,61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D09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Transação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8.714,29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1,080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9.411,43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D10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14.210,53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1,000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12.789,47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Saneamento ±30% (B.3)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D11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9.666,67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1,020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8.874,00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  <w:tr>
        <w:trPr>
          <w:cantSplit/>
        </w:trPr>
        <w:tc>
          <w:tcPr>
            <w:tcW w:type="dxa" w:w="11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D12</w:t>
            </w:r>
          </w:p>
        </w:tc>
        <w:tc>
          <w:tcPr>
            <w:tcW w:type="dxa" w:w="146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Transação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9.392,41</w:t>
            </w:r>
          </w:p>
        </w:tc>
        <w:tc>
          <w:tcPr>
            <w:tcW w:type="dxa" w:w="12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1,000</w:t>
            </w:r>
          </w:p>
        </w:tc>
        <w:tc>
          <w:tcPr>
            <w:tcW w:type="dxa" w:w="16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9.392,41</w:t>
            </w:r>
          </w:p>
        </w:tc>
        <w:tc>
          <w:tcPr>
            <w:tcW w:type="dxa" w:w="22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Mantido</w:t>
            </w:r>
          </w:p>
        </w:tc>
      </w:tr>
    </w:tbl>
    <w:p>
      <w:pPr>
        <w:keepNext w:val="false"/>
        <w:spacing w:after="100"/>
      </w:pPr>
    </w:p>
    <w:p>
      <w:pPr>
        <w:keepNext/>
        <w:keepLines/>
        <w:pageBreakBefore/>
        <w:pBdr>
          <w:left w:val="single" w:color="1B2A4E" w:sz="12" w:space="4"/>
        </w:pBdr>
        <w:shd w:fill="F1F5F9" w:color="auto" w:val="clear"/>
        <w:spacing w:after="100" w:before="140"/>
        <w:jc w:val="center"/>
      </w:pPr>
      <w:r>
        <w:rPr>
          <w:rFonts w:ascii="Cambria Math" w:cs="Cambria Math" w:eastAsia="Cambria Math" w:hAnsi="Cambria Math"/>
          <w:color w:val="1B2A4E"/>
          <w:sz w:val="22"/>
          <w:szCs w:val="22"/>
        </w:rPr>
        <w:t xml:space="preserve">IC80% = x̄ ± t(0,10; n−1) × s / √n</w:t>
      </w:r>
    </w:p>
    <w:p>
      <w:pPr>
        <w:keepNext/>
        <w:keepLines/>
        <w:spacing w:after="60" w:line="264"/>
        <w:jc w:val="both"/>
      </w:pPr>
      <w:r>
        <w:rPr>
          <w:rFonts w:ascii="Georgia" w:cs="Georgia" w:eastAsia="Georgia" w:hAnsi="Georgia"/>
          <w:b/>
          <w:bCs/>
          <w:color w:val="1B2A4E"/>
          <w:sz w:val="19"/>
          <w:szCs w:val="19"/>
        </w:rPr>
        <w:t xml:space="preserve">Leitura: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"IC80%"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é o intervalo de confiança de 80%;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"x̄"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é a média saneada (9.032,46);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"t"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é o valor de Student para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"n − 1"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graus de liberdade (1,372);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"s"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é o desvio-padrão (388,94); </w:t>
      </w:r>
      <w:r>
        <w:rPr>
          <w:rFonts w:ascii="Georgia" w:cs="Georgia" w:eastAsia="Georgia" w:hAnsi="Georgia"/>
          <w:b/>
          <w:bCs/>
          <w:color w:val="22303F"/>
          <w:sz w:val="19"/>
          <w:szCs w:val="19"/>
        </w:rPr>
        <w:t xml:space="preserve">"n"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 é o número de dados (11).</w:t>
      </w:r>
    </w:p>
    <w:p>
      <w:pPr>
        <w:keepNext w:val="false"/>
        <w:keepLines/>
        <w:spacing w:after="160" w:line="264"/>
        <w:jc w:val="both"/>
      </w:pPr>
      <w:r>
        <w:rPr>
          <w:rFonts w:ascii="Georgia" w:cs="Georgia" w:eastAsia="Georgia" w:hAnsi="Georgia"/>
          <w:b/>
          <w:bCs/>
          <w:color w:val="8A6D00"/>
          <w:sz w:val="19"/>
          <w:szCs w:val="19"/>
        </w:rPr>
        <w:t xml:space="preserve">Em linguagem simples: </w:t>
      </w:r>
      <w:r>
        <w:rPr>
          <w:rFonts w:ascii="Georgia" w:cs="Georgia" w:eastAsia="Georgia" w:hAnsi="Georgia"/>
          <w:color w:val="22303F"/>
          <w:sz w:val="19"/>
          <w:szCs w:val="19"/>
        </w:rPr>
        <w:t xml:space="preserve">o intervalo mostra a faixa em que o valor médio está, com 80% de confiança. Aqui vai de 8.871,55 a 9.193,38 por m², amplitude de 3,6%.</w:t>
      </w:r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Valor = 9.032,46 × 80,00 m² = </w:t>
      </w: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R$ 722.597,19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.</w:t>
      </w:r>
    </w:p>
    <w:p>
      <w:pPr>
        <w:pStyle w:val="Heading1"/>
        <w:keepNext/>
        <w:keepLines/>
      </w:pPr>
      <w:bookmarkStart w:name="sec9" w:id="1"/>
      <w:r>
        <w:t xml:space="preserve">9. Especificação</w:t>
      </w:r>
      <w:bookmarkEnd w:id="1"/>
    </w:p>
    <w:tbl>
      <w:tblPr>
        <w:tblW w:type="dxa" w:w="9360"/>
        <w:tblBorders>
          <w:top w:val="single" w:color="1B2A4E" w:sz="6"/>
          <w:left w:val="none" w:color="FFFFFF" w:sz="0"/>
          <w:bottom w:val="single" w:color="1B2A4E" w:sz="6"/>
          <w:right w:val="none" w:color="FFFFFF" w:sz="0"/>
          <w:insideH w:val="single" w:color="E2E8F0" w:sz="2"/>
          <w:insideV w:val="none" w:color="FFFFFF" w:sz="0"/>
        </w:tblBorders>
      </w:tblPr>
      <w:tblGrid>
        <w:gridCol w:w="7488"/>
        <w:gridCol w:w="1872"/>
      </w:tblGrid>
      <w:tr>
        <w:trPr>
          <w:cantSplit/>
          <w:tblHeader/>
        </w:trPr>
        <w:tc>
          <w:tcPr>
            <w:tcW w:type="dxa" w:w="7488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Item de fundamentação</w:t>
            </w:r>
          </w:p>
        </w:tc>
        <w:tc>
          <w:tcPr>
            <w:tcW w:type="dxa" w:w="1872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Pontos</w:t>
            </w:r>
          </w:p>
        </w:tc>
      </w:tr>
      <w:tr>
        <w:trPr>
          <w:cantSplit/>
        </w:trPr>
        <w:tc>
          <w:tcPr>
            <w:tcW w:type="dxa" w:w="74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Caracterização do imóvel avaliando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Quantidade mínima de dados (11)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4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Identificação dos dados de mercado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4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Intervalo de ajuste dos fatores (0,95–1,08)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8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2303F"/>
                <w:sz w:val="17"/>
                <w:szCs w:val="17"/>
              </w:rPr>
              <w:t xml:space="preserve">Total · grau de fundamentação II</w:t>
            </w:r>
          </w:p>
        </w:tc>
        <w:tc>
          <w:tcPr>
            <w:tcW w:type="dxa" w:w="187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22303F"/>
                <w:sz w:val="17"/>
                <w:szCs w:val="17"/>
              </w:rPr>
              <w:t xml:space="preserve">10</w:t>
            </w:r>
          </w:p>
        </w:tc>
      </w:tr>
    </w:tbl>
    <w:p>
      <w:pPr>
        <w:keepNext w:val="false"/>
        <w:spacing w:after="100"/>
      </w:pPr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Tabelas 3 e 4 da NBR 14653-2:2011 (tratamento por fatores). Itens 2 e 4 são obrigatórios no grau pretendido.</w:t>
      </w:r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Grau de precisão </w:t>
      </w: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III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: a amplitude do intervalo de confiança de 80% é de 3,6% (grau III até 30%, grau II até 40%, grau I até 50%).</w:t>
      </w:r>
    </w:p>
    <w:p>
      <w:pPr>
        <w:pStyle w:val="Heading1"/>
        <w:keepNext/>
        <w:keepLines/>
      </w:pPr>
      <w:bookmarkStart w:name="sec10" w:id="1"/>
      <w:r>
        <w:t xml:space="preserve">10. Resultado</w:t>
      </w:r>
      <w:bookmarkEnd w:id="1"/>
    </w:p>
    <w:tbl>
      <w:tblPr>
        <w:tblW w:type="dxa" w:w="9360"/>
        <w:tblBorders>
          <w:top w:val="single" w:color="1B2A4E" w:sz="6"/>
          <w:left w:val="none" w:color="FFFFFF" w:sz="0"/>
          <w:bottom w:val="single" w:color="1B2A4E" w:sz="6"/>
          <w:right w:val="none" w:color="FFFFFF" w:sz="0"/>
          <w:insideH w:val="single" w:color="E2E8F0" w:sz="2"/>
          <w:insideV w:val="none" w:color="FFFFFF" w:sz="0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4680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Estimativa central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R$ 722.597,19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Intervalo de confiança de 80%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R$ 709.724,06 a R$ 735.470,32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Campo de arbítrio (±15%)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R$ 614.207,61 a R$ 830.986,77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Intervalo de valores admissíveis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R$ 709.724,06 a R$ 735.470,32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Valor adotado pelo perito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R$ 722.597,19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Valor final arredondado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R$ 723.000,00</w:t>
            </w:r>
          </w:p>
        </w:tc>
      </w:tr>
    </w:tbl>
    <w:p>
      <w:pPr>
        <w:keepNext w:val="false"/>
        <w:spacing w:after="100"/>
      </w:pPr>
    </w:p>
    <w:tbl>
      <w:tblPr>
        <w:tblW w:type="dxa" w:w="9360"/>
        <w:tblBorders>
          <w:top w:val="single" w:color="E2E8F0" w:sz="4"/>
          <w:left w:val="single" w:color="F2C811" w:sz="2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5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keepNext/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8A6D00"/>
                <w:sz w:val="17"/>
                <w:szCs w:val="17"/>
              </w:rPr>
              <w:t xml:space="preserve">VALOR DE MERCADO</w:t>
            </w:r>
          </w:p>
          <w:p>
            <w:pPr>
              <w:keepNext/>
              <w:spacing w:after="70" w:line="268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22303F"/>
                <w:sz w:val="20"/>
                <w:szCs w:val="20"/>
              </w:rPr>
              <w:t xml:space="preserve">R$ 723.000,00</w:t>
            </w:r>
            <w:r>
              <w:rPr>
                <w:rFonts w:ascii="Georgia" w:cs="Georgia" w:eastAsia="Georgia" w:hAnsi="Georgia"/>
                <w:color w:val="22303F"/>
                <w:sz w:val="20"/>
                <w:szCs w:val="20"/>
              </w:rPr>
              <w:t xml:space="preserve"> (setecentos e vinte e três mil reais).</w:t>
            </w:r>
          </w:p>
          <w:p>
            <w:pPr>
              <w:keepNext w:val="false"/>
              <w:spacing w:after="70" w:line="268"/>
              <w:jc w:val="both"/>
            </w:pPr>
            <w:r>
              <w:rPr>
                <w:rFonts w:ascii="Georgia" w:cs="Georgia" w:eastAsia="Georgia" w:hAnsi="Georgia"/>
                <w:color w:val="22303F"/>
                <w:sz w:val="20"/>
                <w:szCs w:val="20"/>
              </w:rPr>
              <w:t xml:space="preserve">Data de referência: 04/10/2026.</w:t>
            </w:r>
          </w:p>
        </w:tc>
      </w:tr>
    </w:tbl>
    <w:p>
      <w:pPr>
        <w:keepNext w:val="false"/>
        <w:spacing w:after="100"/>
      </w:pPr>
    </w:p>
    <w:p>
      <w:pPr>
        <w:pStyle w:val="Heading1"/>
        <w:keepNext/>
        <w:keepLines/>
        <w:pageBreakBefore/>
      </w:pPr>
      <w:bookmarkStart w:name="sec11" w:id="1"/>
      <w:r>
        <w:t xml:space="preserve">11. Respostas aos quesitos</w:t>
      </w:r>
      <w:bookmarkEnd w:id="1"/>
    </w:p>
    <w:p>
      <w:pPr>
        <w:pStyle w:val="Heading2"/>
        <w:keepNext/>
        <w:keepLines/>
      </w:pPr>
      <w:r>
        <w:t xml:space="preserve">Quesito J1 (do juízo)</w:t>
      </w:r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i/>
          <w:iCs/>
          <w:color w:val="22303F"/>
          <w:sz w:val="21"/>
          <w:szCs w:val="21"/>
        </w:rPr>
        <w:t xml:space="preserve">Qual o valor de mercado do imóvel na data da vistoria?</w:t>
      </w:r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Resposta: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Resposta de teste.</w:t>
      </w:r>
    </w:p>
    <w:p>
      <w:pPr>
        <w:pStyle w:val="Heading2"/>
        <w:keepNext/>
        <w:keepLines/>
      </w:pPr>
      <w:r>
        <w:t xml:space="preserve">Quesito A1 (do autor)</w:t>
      </w:r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i/>
          <w:iCs/>
          <w:color w:val="22303F"/>
          <w:sz w:val="21"/>
          <w:szCs w:val="21"/>
        </w:rPr>
        <w:t xml:space="preserve">O réu agiu de boa-fé na ocupação do imóvel?</w:t>
      </w:r>
    </w:p>
    <w:p>
      <w:pPr>
        <w:keepNext w:val="false"/>
        <w:keepLines/>
        <w:spacing w:after="120" w:line="280"/>
        <w:jc w:val="both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Resposta:</w:t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Resposta de teste.</w:t>
      </w:r>
    </w:p>
    <w:p>
      <w:pPr>
        <w:pStyle w:val="Heading1"/>
        <w:keepNext/>
        <w:keepLines/>
      </w:pPr>
      <w:bookmarkStart w:name="sec12" w:id="1"/>
      <w:r>
        <w:t xml:space="preserve">12. Encerramento</w:t>
      </w:r>
      <w:bookmarkEnd w:id="1"/>
    </w:p>
    <w:p>
      <w:pPr>
        <w:keepNext/>
        <w:keepLines/>
        <w:spacing w:after="120" w:line="280"/>
        <w:jc w:val="both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Este laudo contém </w:t>
      </w:r>
      <w:r>
        <w:rPr>
          <w:rFonts w:ascii="Georgia" w:cs="Georgia" w:eastAsia="Georgia" w:hAnsi="Georgia"/>
          <w:color w:val="22303F"/>
          <w:sz w:val="21"/>
          <w:szCs w:val="21"/>
        </w:rPr>
        <w:fldChar w:fldCharType="begin"/>
        <w:instrText xml:space="preserve">NUMPAGES</w:instrText>
        <w:fldChar w:fldCharType="separate"/>
        <w:fldChar w:fldCharType="end"/>
      </w:r>
      <w:r>
        <w:rPr>
          <w:rFonts w:ascii="Georgia" w:cs="Georgia" w:eastAsia="Georgia" w:hAnsi="Georgia"/>
          <w:color w:val="22303F"/>
          <w:sz w:val="21"/>
          <w:szCs w:val="21"/>
        </w:rPr>
        <w:t xml:space="preserve"> páginas numeradas, com a capa e os anexos. Acompanha a ART nº ART-QA.</w:t>
      </w:r>
    </w:p>
    <w:p>
      <w:pPr>
        <w:keepNext/>
        <w:spacing w:after="600" w:before="240"/>
      </w:pPr>
      <w:r>
        <w:rPr>
          <w:rFonts w:ascii="Georgia" w:cs="Georgia" w:eastAsia="Georgia" w:hAnsi="Georgia"/>
          <w:color w:val="22303F"/>
          <w:sz w:val="21"/>
          <w:szCs w:val="21"/>
        </w:rPr>
        <w:t xml:space="preserve">Brasília/DF, 23 de outubro de 2026.</w:t>
      </w:r>
    </w:p>
    <w:p>
      <w:pPr>
        <w:keepNext/>
        <w:pBdr>
          <w:top w:val="single" w:color="22303F" w:sz="6" w:space="4"/>
        </w:pBdr>
        <w:ind w:left="2200" w:right="2200"/>
        <w:jc w:val="center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Ana Souza Perita</w:t>
      </w:r>
    </w:p>
    <w:p>
      <w:pPr>
        <w:keepNext w:val="false"/>
        <w:jc w:val="center"/>
      </w:pPr>
      <w:r>
        <w:rPr>
          <w:rFonts w:ascii="Georgia" w:cs="Georgia" w:eastAsia="Georgia" w:hAnsi="Georgia"/>
          <w:color w:val="667788"/>
          <w:sz w:val="19"/>
          <w:szCs w:val="19"/>
        </w:rPr>
        <w:t xml:space="preserve">Engenheiro civil · CREA-DF 12345/D</w:t>
      </w:r>
    </w:p>
    <w:tbl>
      <w:tblPr>
        <w:tblW w:type="dxa" w:w="9360"/>
        <w:tblBorders>
          <w:top w:val="single" w:color="E2E8F0" w:sz="4"/>
          <w:left w:val="single" w:color="1B2A4E" w:sz="2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1F5F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keepNext/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1B2A4E"/>
                <w:sz w:val="17"/>
                <w:szCs w:val="17"/>
              </w:rPr>
              <w:t xml:space="preserve">MINUTA</w:t>
            </w:r>
          </w:p>
          <w:p>
            <w:pPr>
              <w:keepNext w:val="false"/>
              <w:spacing w:after="70" w:line="268"/>
              <w:jc w:val="both"/>
            </w:pPr>
            <w:r>
              <w:rPr>
                <w:rFonts w:ascii="Georgia" w:cs="Georgia" w:eastAsia="Georgia" w:hAnsi="Georgia"/>
                <w:color w:val="22303F"/>
                <w:sz w:val="20"/>
                <w:szCs w:val="20"/>
              </w:rPr>
              <w:t xml:space="preserve">Documento gerado antes da emissão. Sem validade até a revisão integral, a emissão na plataforma e a assinatura do perito.</w:t>
            </w:r>
          </w:p>
        </w:tc>
      </w:tr>
    </w:tbl>
    <w:p>
      <w:pPr>
        <w:keepNext w:val="false"/>
        <w:spacing w:after="100"/>
      </w:pPr>
    </w:p>
    <w:p>
      <w:pPr>
        <w:pStyle w:val="Heading1"/>
        <w:keepNext/>
        <w:keepLines/>
        <w:pageBreakBefore/>
      </w:pPr>
      <w:bookmarkStart w:name="sec13" w:id="1"/>
      <w:r>
        <w:t xml:space="preserve">Anexo A — Relatório fotográfico</w:t>
      </w:r>
      <w:bookmarkEnd w:id="1"/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60"/>
              <w:left w:type="dxa" w:w="0"/>
              <w:bottom w:type="dxa" w:w="12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771775" cy="2076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Georgia" w:cs="Georgia" w:eastAsia="Georgia" w:hAnsi="Georgia"/>
                <w:b/>
                <w:bCs/>
                <w:color w:val="1B2A4E"/>
                <w:sz w:val="17"/>
                <w:szCs w:val="17"/>
              </w:rPr>
              <w:t xml:space="preserve">Foto 1 · Fachada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667788"/>
                <w:sz w:val="15"/>
                <w:szCs w:val="15"/>
              </w:rPr>
              <w:t xml:space="preserve">17/09/2026, 10:10 · -15.825139, -48.02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12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771775" cy="2076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Georgia" w:cs="Georgia" w:eastAsia="Georgia" w:hAnsi="Georgia"/>
                <w:b/>
                <w:bCs/>
                <w:color w:val="1B2A4E"/>
                <w:sz w:val="17"/>
                <w:szCs w:val="17"/>
              </w:rPr>
              <w:t xml:space="preserve">Foto 2 · Fachada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667788"/>
                <w:sz w:val="15"/>
                <w:szCs w:val="15"/>
              </w:rPr>
              <w:t xml:space="preserve">17/09/2026, 10:11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</w:pPr>
      <w:bookmarkStart w:name="sec14" w:id="1"/>
      <w:r>
        <w:t xml:space="preserve">Anexo B — Dados de mercado</w:t>
      </w:r>
      <w:bookmarkEnd w:id="1"/>
    </w:p>
    <w:tbl>
      <w:tblPr>
        <w:tblW w:type="dxa" w:w="9360"/>
        <w:tblBorders>
          <w:top w:val="single" w:color="1B2A4E" w:sz="6"/>
          <w:left w:val="none" w:color="FFFFFF" w:sz="0"/>
          <w:bottom w:val="single" w:color="1B2A4E" w:sz="6"/>
          <w:right w:val="none" w:color="FFFFFF" w:sz="0"/>
          <w:insideH w:val="single" w:color="E2E8F0" w:sz="2"/>
          <w:insideV w:val="none" w:color="FFFFFF" w:sz="0"/>
        </w:tblBorders>
      </w:tblPr>
      <w:tblGrid>
        <w:gridCol w:w="1029"/>
        <w:gridCol w:w="1310"/>
        <w:gridCol w:w="2620"/>
        <w:gridCol w:w="1310"/>
        <w:gridCol w:w="1872"/>
        <w:gridCol w:w="1219"/>
      </w:tblGrid>
      <w:tr>
        <w:trPr>
          <w:cantSplit/>
          <w:tblHeader/>
        </w:trPr>
        <w:tc>
          <w:tcPr>
            <w:tcW w:type="dxa" w:w="1029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Dado</w:t>
            </w:r>
          </w:p>
        </w:tc>
        <w:tc>
          <w:tcPr>
            <w:tcW w:type="dxa" w:w="1310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Natureza</w:t>
            </w:r>
          </w:p>
        </w:tc>
        <w:tc>
          <w:tcPr>
            <w:tcW w:type="dxa" w:w="2620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1310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1872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Preço</w:t>
            </w:r>
          </w:p>
        </w:tc>
        <w:tc>
          <w:tcPr>
            <w:tcW w:type="dxa" w:w="1219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D01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Portal imobiliário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14/09/2026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R$ 760.000,00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78,00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D02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Portal imobiliário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05/09/2026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R$ 830.000,00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85,00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D03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Transação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ITBI / cartório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27/08/2026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R$ 655.000,00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72,00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D04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Portal imobiliário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18/08/2026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R$ 905.000,00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90,00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D05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Portal imobiliário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09/08/2026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R$ 770.000,00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80,00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D06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Transação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ITBI / cartório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31/07/2026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R$ 700.000,00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76,00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D07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Portal imobiliário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22/07/2026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R$ 872.000,00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88,00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D08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Portal imobiliário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13/07/2026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R$ 795.000,00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82,00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D09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Transação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ITBI / cartório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04/07/2026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R$ 610.000,00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70,00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D10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Portal imobiliário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25/06/2026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R$ 1.350.000,00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95,00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D11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Oferta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Portal imobiliário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16/06/2026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R$ 812.000,00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84,00 m²</w:t>
            </w:r>
          </w:p>
        </w:tc>
      </w:tr>
      <w:tr>
        <w:trPr>
          <w:cantSplit/>
        </w:trPr>
        <w:tc>
          <w:tcPr>
            <w:tcW w:type="dxa" w:w="10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D12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Transação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ITBI / cartório</w:t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07/06/2026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R$ 742.000,00</w:t>
            </w:r>
          </w:p>
        </w:tc>
        <w:tc>
          <w:tcPr>
            <w:tcW w:type="dxa" w:w="121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righ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79,00 m²</w:t>
            </w:r>
          </w:p>
        </w:tc>
      </w:tr>
    </w:tbl>
    <w:p>
      <w:pPr>
        <w:keepNext w:val="false"/>
        <w:spacing w:after="100"/>
      </w:pPr>
    </w:p>
    <w:p>
      <w:pPr>
        <w:pStyle w:val="Heading1"/>
        <w:keepNext/>
        <w:keepLines/>
        <w:pageBreakBefore/>
      </w:pPr>
      <w:bookmarkStart w:name="sec15" w:id="1"/>
      <w:r>
        <w:t xml:space="preserve">Anexo C — Trilha de decisões</w:t>
      </w:r>
      <w:bookmarkEnd w:id="1"/>
    </w:p>
    <w:tbl>
      <w:tblPr>
        <w:tblW w:type="dxa" w:w="9360"/>
        <w:tblBorders>
          <w:top w:val="single" w:color="1B2A4E" w:sz="6"/>
          <w:left w:val="none" w:color="FFFFFF" w:sz="0"/>
          <w:bottom w:val="single" w:color="1B2A4E" w:sz="6"/>
          <w:right w:val="none" w:color="FFFFFF" w:sz="0"/>
          <w:insideH w:val="single" w:color="E2E8F0" w:sz="2"/>
          <w:insideV w:val="none" w:color="FFFFFF" w:sz="0"/>
        </w:tblBorders>
      </w:tblPr>
      <w:tblGrid>
        <w:gridCol w:w="2246"/>
        <w:gridCol w:w="1497"/>
        <w:gridCol w:w="5617"/>
      </w:tblGrid>
      <w:tr>
        <w:trPr>
          <w:cantSplit/>
          <w:tblHeader/>
        </w:trPr>
        <w:tc>
          <w:tcPr>
            <w:tcW w:type="dxa" w:w="2246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Data e hora</w:t>
            </w:r>
          </w:p>
        </w:tc>
        <w:tc>
          <w:tcPr>
            <w:tcW w:type="dxa" w:w="1497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Evento</w:t>
            </w:r>
          </w:p>
        </w:tc>
        <w:tc>
          <w:tcPr>
            <w:tcW w:type="dxa" w:w="5617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23/10/26, 22:53:07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Ação</w:t>
            </w:r>
          </w:p>
        </w:tc>
        <w:tc>
          <w:tcPr>
            <w:tcW w:type="dxa" w:w="56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anexou 2 foto(s)</w:t>
            </w:r>
          </w:p>
        </w:tc>
      </w:tr>
    </w:tbl>
    <w:p>
      <w:pPr>
        <w:keepNext w:val="false"/>
        <w:spacing w:after="100"/>
      </w:pPr>
    </w:p>
    <w:p>
      <w:pPr>
        <w:pStyle w:val="Heading1"/>
        <w:keepNext/>
        <w:keepLines/>
      </w:pPr>
      <w:bookmarkStart w:name="sec16" w:id="1"/>
      <w:r>
        <w:t xml:space="preserve">Anexo D — Gates da avaliação</w:t>
      </w:r>
      <w:bookmarkEnd w:id="1"/>
    </w:p>
    <w:tbl>
      <w:tblPr>
        <w:tblW w:type="dxa" w:w="9360"/>
        <w:tblBorders>
          <w:top w:val="single" w:color="1B2A4E" w:sz="6"/>
          <w:left w:val="none" w:color="FFFFFF" w:sz="0"/>
          <w:bottom w:val="single" w:color="1B2A4E" w:sz="6"/>
          <w:right w:val="none" w:color="FFFFFF" w:sz="0"/>
          <w:insideH w:val="single" w:color="E2E8F0" w:sz="2"/>
          <w:insideV w:val="none" w:color="FFFFFF" w:sz="0"/>
        </w:tblBorders>
      </w:tblPr>
      <w:tblGrid>
        <w:gridCol w:w="877"/>
        <w:gridCol w:w="1560"/>
        <w:gridCol w:w="5362"/>
        <w:gridCol w:w="1561"/>
      </w:tblGrid>
      <w:tr>
        <w:trPr>
          <w:cantSplit/>
          <w:tblHeader/>
        </w:trPr>
        <w:tc>
          <w:tcPr>
            <w:tcW w:type="dxa" w:w="877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560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5362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Verificação</w:t>
            </w:r>
          </w:p>
        </w:tc>
        <w:tc>
          <w:tcPr>
            <w:tcW w:type="dxa" w:w="1561"/>
            <w:shd w:fill="1B2A4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F1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R01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Tipo de valor e data de referência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F1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ALG-1.4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Aptidão declarada pelo perito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F2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ALG-2.1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Matrícula com até 30 dias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F2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R02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Divergência de área tratada (1,5%)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F2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ALG-2.5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Área de cálculo aprovada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F3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CPC 466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Comunicação com 5 dias de antecedência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F3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R15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Vistoria validada pelo perito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F4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R06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Amostra mínima (11 dados aptos; mínimo 3)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F4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ALG-4.5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Amostra revisada pelo perito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F5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ALG-5.2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Método aprovado pelo perito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F6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R05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Fatores: cada um de 0,50 a 2,00 e o conjunto de 0,40 a 2,50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F6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ALG-6.V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Cálculo validado pelo perito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F7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R09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Amplitude do IC80% ≤ 50% (3,6%) ou justificada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F7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R12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Grau de fundamentação ≥ exigido (II / I)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F7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ALG-7.3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Conciliação entre métodos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F8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R10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Valor adotado no campo de arbítrio (±15%)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F8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R11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Arredondamento ≤ 1%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F9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R13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Quesitos respondidos (2/2)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F10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ALG-3.3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Relatório fotográfico (2 de 4 fotos)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F10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ALG-10.2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Checklist de conformidade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  <w:tr>
        <w:trPr>
          <w:cantSplit/>
        </w:trPr>
        <w:tc>
          <w:tcPr>
            <w:tcW w:type="dxa" w:w="8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F10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ALG-10.3</w:t>
            </w:r>
          </w:p>
        </w:tc>
        <w:tc>
          <w:tcPr>
            <w:tcW w:type="dxa" w:w="536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ART e assinatura do perito</w:t>
            </w:r>
          </w:p>
        </w:tc>
        <w:tc>
          <w:tcPr>
            <w:tcW w:type="dxa" w:w="156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  <w:jc w:val="left"/>
            </w:pPr>
            <w:r>
              <w:rPr>
                <w:rFonts w:ascii="Georgia" w:cs="Georgia" w:eastAsia="Georgia" w:hAnsi="Georgia"/>
                <w:color w:val="22303F"/>
                <w:sz w:val="17"/>
                <w:szCs w:val="17"/>
              </w:rPr>
              <w:t xml:space="preserve">Atendido</w:t>
            </w:r>
          </w:p>
        </w:tc>
      </w:tr>
    </w:tbl>
    <w:p>
      <w:pPr>
        <w:keepNext w:val="false"/>
        <w:spacing w:after="100"/>
      </w:pPr>
    </w:p>
    <w:sectPr>
      <w:headerReference w:type="default" r:id="rId9"/>
      <w:footerReference w:type="default" r:id="rId10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677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C811" w:sz="4" w:space="4"/>
      </w:pBdr>
      <w:jc w:val="right"/>
    </w:pPr>
    <w:r>
      <w:rPr>
        <w:rFonts w:ascii="Georgia" w:cs="Georgia" w:eastAsia="Georgia" w:hAnsi="Georgia"/>
        <w:color w:val="C23A33"/>
        <w:sz w:val="15"/>
        <w:szCs w:val="15"/>
      </w:rPr>
      <w:t xml:space="preserve">SOLIDUNS · Minuta de laudo AV-2026-014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300"/>
      </w:pPr>
      <w:rPr>
        <w:color w:val="C9A50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rFonts w:ascii="Georgia" w:cs="Georgia" w:eastAsia="Georgia" w:hAnsi="Georgia"/>
        <w:b/>
        <w:bCs/>
        <w:color w:val="1B2A4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230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2C811" w:sz="12" w:space="6"/>
      </w:pBdr>
      <w:spacing w:after="180" w:before="320"/>
      <w:outlineLvl w:val="0"/>
    </w:pPr>
    <w:rPr>
      <w:rFonts w:ascii="Georgia" w:cs="Georgia" w:eastAsia="Georgia" w:hAnsi="Georgia"/>
      <w:b/>
      <w:bCs/>
      <w:color w:val="1B2A4E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Georgia" w:cs="Georgia" w:eastAsia="Georgia" w:hAnsi="Georgia"/>
      <w:b/>
      <w:bCs/>
      <w:color w:val="1B2A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5fdbaacac4ef126e2f280f750a741029f80baa42.png"/><Relationship Id="rId12" Type="http://schemas.openxmlformats.org/officeDocument/2006/relationships/image" Target="media/5c8d96af4e4d5a7520f9588877d0971ea97e7b6a.jpg"/><Relationship Id="rId13" Type="http://schemas.openxmlformats.org/officeDocument/2006/relationships/image" Target="media/ed3cdcfe294563441a1bf6680d00f482bb11e0af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de avaliação AV-2026-014</dc:title>
  <dc:creator>Ana Souza Perita</dc:creator>
  <dc:description>Apartamento 3 quartos — Rua 31 Norte, Águas Claras/DF</dc:description>
  <cp:lastModifiedBy>Un-named</cp:lastModifiedBy>
  <cp:revision>1</cp:revision>
  <dcterms:created xsi:type="dcterms:W3CDTF">2026-10-24T01:53:13.095Z</dcterms:created>
  <dcterms:modified xsi:type="dcterms:W3CDTF">2026-10-24T01:53:13.096Z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