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619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SCORE EXPONENCIAL</w:t>
      </w:r>
    </w:p>
    <w:p>
      <w:pPr>
        <w:spacing w:after="600"/>
        <w:jc w:val="center"/>
      </w:pPr>
      <w:r>
        <w:rPr>
          <w:color w:val="C9A227"/>
          <w:sz w:val="26"/>
          <w:szCs w:val="26"/>
        </w:rPr>
        <w:t xml:space="preserve">Radar de Ações Exponenciais · Fusion Analysis SOLIDUNS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Proposta de metodologia — versão 0.1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Documento para aprovação do Dr. Thiago Viegas</w:t>
      </w:r>
    </w:p>
    <w:p>
      <w:pPr>
        <w:jc w:val="center"/>
      </w:pPr>
      <w:r>
        <w:rPr>
          <w:color w:val="555555"/>
          <w:sz w:val="22"/>
          <w:szCs w:val="22"/>
        </w:rPr>
        <w:t xml:space="preserve">Brasília, 16 de outubro de 2026</w:t>
      </w:r>
    </w:p>
    <w:p>
      <w:pPr>
        <w:sectPr>
          <w:pgSz w:w="11906" w:h="16838" w:orient="portrait"/>
          <w:pgMar w:top="1300" w:right="1450" w:bottom="1300" w:left="1450" w:header="708" w:footer="708" w:gutter="0"/>
          <w:pgNumType/>
          <w:docGrid w:linePitch="360"/>
        </w:sectPr>
      </w:pPr>
    </w:p>
    <w:p>
      <w:pPr>
        <w:pStyle w:val="Heading1"/>
        <w:keepNext/>
        <w:keepLines/>
        <w:pageBreakBefore/>
      </w:pPr>
      <w:r>
        <w:t xml:space="preserve">1. Objetivo</w:t>
      </w:r>
    </w:p>
    <w:p>
      <w:pPr>
        <w:spacing w:after="120" w:line="300"/>
        <w:jc w:val="both"/>
      </w:pPr>
      <w:r>
        <w:t xml:space="preserve">O </w:t>
      </w:r>
      <w:r>
        <w:rPr>
          <w:b/>
          <w:bCs/>
        </w:rPr>
        <w:t xml:space="preserve">Score Exponencial</w:t>
      </w:r>
      <w:r>
        <w:t xml:space="preserve"> é uma nota de 0 a 100 que ordena as ações da bolsa brasileira pela combinação de quatro forças: o preço em tendência, empresas sólidas, crescimento que acelera e sinais que concordam entre si, com risco controlado.</w:t>
      </w:r>
    </w:p>
    <w:p>
      <w:pPr>
        <w:spacing w:after="120" w:line="300"/>
        <w:jc w:val="both"/>
      </w:pPr>
      <w:r>
        <w:t xml:space="preserve">A nota serve para </w:t>
      </w:r>
      <w:r>
        <w:rPr>
          <w:b/>
          <w:bCs/>
        </w:rPr>
        <w:t xml:space="preserve">ordenar e filtrar</w:t>
      </w:r>
      <w:r>
        <w:t xml:space="preserve">. Ela não é recomendação de compra ou venda e a tela do Radar continua mostrando esse aviso. O objetivo de desenho é aumentar a chance de as ações do topo do ranking terem desempenho melhor que o Ibovespa nos 6 meses seguintes, e medir isso com transparência (capítulo 8).</w:t>
      </w:r>
    </w:p>
    <w:p>
      <w:pPr>
        <w:pStyle w:val="Heading2"/>
        <w:keepNext/>
        <w:keepLines/>
      </w:pPr>
      <w:r>
        <w:t xml:space="preserve">Princípios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Só dados oficiais e verificáveis:</w:t>
      </w:r>
      <w:r>
        <w:t xml:space="preserve"> preços da B3, demonstrações entregues à CVM e índices da B3. Nada calculado na página do assinante.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Sem olhar o futuro:</w:t>
      </w:r>
      <w:r>
        <w:t xml:space="preserve"> cada dado entra no cálculo só a partir da data em que ficou público (por exemplo, o balanço entra na data de entrega à CVM, não na data de fechamento do trimestre).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Comparação justa:</w:t>
      </w:r>
      <w:r>
        <w:t xml:space="preserve"> cada indicador vira uma posição relativa (percentil) entre as ações elegíveis do dia; indicadores de valor e de endividamento são comparados dentro do mesmo setor.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Pesos definidos antes do teste:</w:t>
      </w:r>
      <w:r>
        <w:t xml:space="preserve"> os pesos desta proposta são fixados agora e só mudam numa nova versão da metodologia, com o teste histórico refeito. Isso evita ajustar a nota ao passado.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Versão registrada:</w:t>
      </w:r>
      <w:r>
        <w:t xml:space="preserve"> cada ranking publicado grava a versão da metodologia (coluna metodologia_versao, já prevista no banco).</w:t>
      </w:r>
    </w:p>
    <w:p>
      <w:pPr>
        <w:pStyle w:val="Heading1"/>
        <w:keepNext/>
        <w:keepLines/>
        <w:pageBreakBefore/>
      </w:pPr>
      <w:r>
        <w:t xml:space="preserve">2. Visão geral</w:t>
      </w:r>
    </w:p>
    <w:p>
      <w:pPr>
        <w:spacing w:after="120" w:line="300"/>
        <w:jc w:val="both"/>
      </w:pPr>
      <w:r>
        <w:t xml:space="preserve">O Score é formado por quatro pilares. Cada pilar reúne de três a cinco subitens. Cada subitem recebe uma nota de 0 a 100 e o pilar é a média ponderada dos seus subitens.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4300"/>
        <w:gridCol w:w="1500"/>
      </w:tblGrid>
      <w:tr>
        <w:trPr>
          <w:cantSplit/>
          <w:tblHeader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mede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 Momentum técnico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30%</w:t>
            </w:r>
          </w:p>
        </w:tc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 o preço está em tendência de alta e mais forte que o mercado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 Fundamentos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30%</w:t>
            </w:r>
          </w:p>
        </w:tc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Rentabilidade, qualidade do lucro, solidez e preço justo frente ao setor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 Aceleração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 o crescimento de receita e de lucro está acelerando (o lado "exponencial")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4. Confluência e risco</w:t>
            </w:r>
          </w:p>
        </w:tc>
        <w:tc>
          <w:tcPr>
            <w:tcW w:type="dxa" w:w="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 os sinais concordam e se o risco e a liquidez são aceitáveis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 + alertas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t xml:space="preserve">Na tela do Radar, os nomes atuais dos quadros (Momentum técnico, Fundamentos, Confluência e Score Exponencial) continuam. A única mudança visual prevista é mostrar o pilar </w:t>
      </w:r>
      <w:r>
        <w:rPr>
          <w:b/>
          <w:bCs/>
        </w:rPr>
        <w:t xml:space="preserve">Aceleração</w:t>
      </w:r>
      <w:r>
        <w:t xml:space="preserve"> junto com os outros três. É um ajuste pequeno, que entra numa versão futura do site.</w:t>
      </w:r>
    </w:p>
    <w:p>
      <w:pPr>
        <w:pStyle w:val="Heading2"/>
        <w:keepNext/>
        <w:keepLines/>
      </w:pPr>
      <w:r>
        <w:t xml:space="preserve">Fórmula geral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 = 0,30·M + 0,30·F + 0,20·A + 0,20·C − Pen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"0,30"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"M"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"0,30"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"F"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"0,20"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"A"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"0,20"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"C"</w:t>
      </w:r>
      <w:r>
        <w:rPr>
          <w:color w:val="555555"/>
          <w:sz w:val="20"/>
          <w:szCs w:val="20"/>
        </w:rPr>
        <w:t xml:space="preserve">, menos </w:t>
      </w:r>
      <w:r>
        <w:rPr>
          <w:b/>
          <w:bCs/>
          <w:color w:val="555555"/>
          <w:sz w:val="20"/>
          <w:szCs w:val="20"/>
        </w:rPr>
        <w:t xml:space="preserve">"Pen"</w:t>
      </w:r>
      <w:r>
        <w:rPr>
          <w:color w:val="555555"/>
          <w:sz w:val="20"/>
          <w:szCs w:val="20"/>
        </w:rPr>
        <w:t xml:space="preserve">; onde </w:t>
      </w:r>
      <w:r>
        <w:rPr>
          <w:b/>
          <w:bCs/>
          <w:color w:val="555555"/>
          <w:sz w:val="20"/>
          <w:szCs w:val="20"/>
        </w:rPr>
        <w:t xml:space="preserve">"M"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"F"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"A"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"C"</w:t>
      </w:r>
      <w:r>
        <w:rPr>
          <w:color w:val="555555"/>
          <w:sz w:val="20"/>
          <w:szCs w:val="20"/>
        </w:rPr>
        <w:t xml:space="preserve"> são as notas de 0 a 100 dos pilares Momentum, Fundamentos, Aceleração e Confluência, e </w:t>
      </w:r>
      <w:r>
        <w:rPr>
          <w:b/>
          <w:bCs/>
          <w:color w:val="555555"/>
          <w:sz w:val="20"/>
          <w:szCs w:val="20"/>
        </w:rPr>
        <w:t xml:space="preserve">"Pen"</w:t>
      </w:r>
      <w:r>
        <w:rPr>
          <w:color w:val="555555"/>
          <w:sz w:val="20"/>
          <w:szCs w:val="20"/>
        </w:rPr>
        <w:t xml:space="preserve"> é a soma das penalidades por alertas. O resultado é limitado ao intervalo de </w:t>
      </w:r>
      <w:r>
        <w:rPr>
          <w:b/>
          <w:bCs/>
          <w:color w:val="555555"/>
          <w:sz w:val="20"/>
          <w:szCs w:val="20"/>
        </w:rPr>
        <w:t xml:space="preserve">"0"</w:t>
      </w:r>
      <w:r>
        <w:rPr>
          <w:color w:val="555555"/>
          <w:sz w:val="20"/>
          <w:szCs w:val="20"/>
        </w:rPr>
        <w:t xml:space="preserve"> a </w:t>
      </w:r>
      <w:r>
        <w:rPr>
          <w:b/>
          <w:bCs/>
          <w:color w:val="555555"/>
          <w:sz w:val="20"/>
          <w:szCs w:val="20"/>
        </w:rPr>
        <w:t xml:space="preserve">"100"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a nota final é a soma ponderada das quatro notas de pilar, com desconto quando a empresa tem algum sinal de alerta.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Pilar = Σ wₖ · sₖ ,  com Σ wₖ = 1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</w:t>
      </w:r>
      <w:r>
        <w:rPr>
          <w:b/>
          <w:bCs/>
          <w:color w:val="555555"/>
          <w:sz w:val="20"/>
          <w:szCs w:val="20"/>
        </w:rPr>
        <w:t xml:space="preserve">"Pilar"</w:t>
      </w:r>
      <w:r>
        <w:rPr>
          <w:color w:val="555555"/>
          <w:sz w:val="20"/>
          <w:szCs w:val="20"/>
        </w:rPr>
        <w:t xml:space="preserve"> é igual à soma, para cada subitem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, do peso </w:t>
      </w:r>
      <w:r>
        <w:rPr>
          <w:b/>
          <w:bCs/>
          <w:color w:val="555555"/>
          <w:sz w:val="20"/>
          <w:szCs w:val="20"/>
        </w:rPr>
        <w:t xml:space="preserve">"wₖ"</w:t>
      </w:r>
      <w:r>
        <w:rPr>
          <w:color w:val="555555"/>
          <w:sz w:val="20"/>
          <w:szCs w:val="20"/>
        </w:rPr>
        <w:t xml:space="preserve"> vezes a nota </w:t>
      </w:r>
      <w:r>
        <w:rPr>
          <w:b/>
          <w:bCs/>
          <w:color w:val="555555"/>
          <w:sz w:val="20"/>
          <w:szCs w:val="20"/>
        </w:rPr>
        <w:t xml:space="preserve">"sₖ"</w:t>
      </w:r>
      <w:r>
        <w:rPr>
          <w:color w:val="555555"/>
          <w:sz w:val="20"/>
          <w:szCs w:val="20"/>
        </w:rPr>
        <w:t xml:space="preserve">; a soma de todos os pesos </w:t>
      </w:r>
      <w:r>
        <w:rPr>
          <w:b/>
          <w:bCs/>
          <w:color w:val="555555"/>
          <w:sz w:val="20"/>
          <w:szCs w:val="20"/>
        </w:rPr>
        <w:t xml:space="preserve">"wₖ"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dentro de cada pilar, cada subitem pesa de acordo com a sua importância, e os pesos somam 100%.</w:t>
      </w:r>
    </w:p>
    <w:p>
      <w:pPr>
        <w:pStyle w:val="Heading2"/>
        <w:keepNext/>
        <w:keepLines/>
      </w:pPr>
      <w:r>
        <w:t xml:space="preserve">Faixas de leitura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5300"/>
      </w:tblGrid>
      <w:tr>
        <w:trPr>
          <w:cantSplit/>
          <w:tblHeader/>
        </w:trPr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 na tela</w:t>
            </w:r>
          </w:p>
        </w:tc>
        <w:tc>
          <w:tcPr>
            <w:tcW w:type="dxa" w:w="5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80 a 100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Exponencial</w:t>
            </w:r>
          </w:p>
        </w:tc>
        <w:tc>
          <w:tcPr>
            <w:tcW w:type="dxa" w:w="5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Os quatro pilares fortes ao mesmo tempo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60 a 79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Forte</w:t>
            </w:r>
          </w:p>
        </w:tc>
        <w:tc>
          <w:tcPr>
            <w:tcW w:type="dxa" w:w="5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Maioria dos pilares acima da média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40 a 59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Neutro</w:t>
            </w:r>
          </w:p>
        </w:tc>
        <w:tc>
          <w:tcPr>
            <w:tcW w:type="dxa" w:w="5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Sinais mistos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 a 39</w:t>
            </w:r>
          </w:p>
        </w:tc>
        <w:tc>
          <w:tcPr>
            <w:tcW w:type="dxa" w:w="2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Fraco</w:t>
            </w:r>
          </w:p>
        </w:tc>
        <w:tc>
          <w:tcPr>
            <w:tcW w:type="dxa" w:w="5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Pilares abaixo da média ou alertas</w:t>
            </w:r>
          </w:p>
        </w:tc>
      </w:tr>
    </w:tbl>
    <w:p>
      <w:pPr>
        <w:pStyle w:val="Heading1"/>
        <w:keepNext/>
        <w:keepLines/>
        <w:pageBreakBefore/>
      </w:pPr>
      <w:r>
        <w:t xml:space="preserve">3. Normalização</w:t>
      </w:r>
    </w:p>
    <w:p>
      <w:pPr>
        <w:spacing w:after="120" w:line="300"/>
        <w:jc w:val="both"/>
      </w:pPr>
      <w:r>
        <w:t xml:space="preserve">Os indicadores têm escalas diferentes (porcentagem, múltiplos, dias). Para somá-los, cada um vira uma </w:t>
      </w:r>
      <w:r>
        <w:rPr>
          <w:b/>
          <w:bCs/>
        </w:rPr>
        <w:t xml:space="preserve">nota de posição</w:t>
      </w:r>
      <w:r>
        <w:t xml:space="preserve">: a porcentagem de ações elegíveis que ficaram abaixo dela naquele dia.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xₖ* = min(max(xₖ, q₁), q₉₉)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valor ajustado </w:t>
      </w:r>
      <w:r>
        <w:rPr>
          <w:b/>
          <w:bCs/>
          <w:color w:val="555555"/>
          <w:sz w:val="20"/>
          <w:szCs w:val="20"/>
        </w:rPr>
        <w:t xml:space="preserve">"xₖ*"</w:t>
      </w:r>
      <w:r>
        <w:rPr>
          <w:color w:val="555555"/>
          <w:sz w:val="20"/>
          <w:szCs w:val="20"/>
        </w:rPr>
        <w:t xml:space="preserve"> é igual ao mínimo entre o máximo de </w:t>
      </w:r>
      <w:r>
        <w:rPr>
          <w:b/>
          <w:bCs/>
          <w:color w:val="555555"/>
          <w:sz w:val="20"/>
          <w:szCs w:val="20"/>
        </w:rPr>
        <w:t xml:space="preserve">"xₖ"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"q₁"</w:t>
      </w:r>
      <w:r>
        <w:rPr>
          <w:color w:val="555555"/>
          <w:sz w:val="20"/>
          <w:szCs w:val="20"/>
        </w:rPr>
        <w:t xml:space="preserve">, e </w:t>
      </w:r>
      <w:r>
        <w:rPr>
          <w:b/>
          <w:bCs/>
          <w:color w:val="555555"/>
          <w:sz w:val="20"/>
          <w:szCs w:val="20"/>
        </w:rPr>
        <w:t xml:space="preserve">"q₉₉"</w:t>
      </w:r>
      <w:r>
        <w:rPr>
          <w:color w:val="555555"/>
          <w:sz w:val="20"/>
          <w:szCs w:val="20"/>
        </w:rPr>
        <w:t xml:space="preserve">; onde </w:t>
      </w:r>
      <w:r>
        <w:rPr>
          <w:b/>
          <w:bCs/>
          <w:color w:val="555555"/>
          <w:sz w:val="20"/>
          <w:szCs w:val="20"/>
        </w:rPr>
        <w:t xml:space="preserve">"q₁"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"q₉₉"</w:t>
      </w:r>
      <w:r>
        <w:rPr>
          <w:color w:val="555555"/>
          <w:sz w:val="20"/>
          <w:szCs w:val="20"/>
        </w:rPr>
        <w:t xml:space="preserve"> são os percentis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"99"</w:t>
      </w:r>
      <w:r>
        <w:rPr>
          <w:color w:val="555555"/>
          <w:sz w:val="20"/>
          <w:szCs w:val="20"/>
        </w:rPr>
        <w:t xml:space="preserve"> do indicador entre as ações do dia.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valores extremos (erros de dado, saltos isolados) são aparados nas pontas para não distorcer a nota.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sₖ = 100 · (posição de xₖ* − 1) / (N − 1)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nota </w:t>
      </w:r>
      <w:r>
        <w:rPr>
          <w:b/>
          <w:bCs/>
          <w:color w:val="555555"/>
          <w:sz w:val="20"/>
          <w:szCs w:val="20"/>
        </w:rPr>
        <w:t xml:space="preserve">"sₖ"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"100"</w:t>
      </w:r>
      <w:r>
        <w:rPr>
          <w:color w:val="555555"/>
          <w:sz w:val="20"/>
          <w:szCs w:val="20"/>
        </w:rPr>
        <w:t xml:space="preserve"> vezes a posição de </w:t>
      </w:r>
      <w:r>
        <w:rPr>
          <w:b/>
          <w:bCs/>
          <w:color w:val="555555"/>
          <w:sz w:val="20"/>
          <w:szCs w:val="20"/>
        </w:rPr>
        <w:t xml:space="preserve">"xₖ*"</w:t>
      </w:r>
      <w:r>
        <w:rPr>
          <w:color w:val="555555"/>
          <w:sz w:val="20"/>
          <w:szCs w:val="20"/>
        </w:rPr>
        <w:t xml:space="preserve"> na ordem crescente menos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, dividido por </w:t>
      </w:r>
      <w:r>
        <w:rPr>
          <w:b/>
          <w:bCs/>
          <w:color w:val="555555"/>
          <w:sz w:val="20"/>
          <w:szCs w:val="20"/>
        </w:rPr>
        <w:t xml:space="preserve">"N"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; onde </w:t>
      </w:r>
      <w:r>
        <w:rPr>
          <w:b/>
          <w:bCs/>
          <w:color w:val="555555"/>
          <w:sz w:val="20"/>
          <w:szCs w:val="20"/>
        </w:rPr>
        <w:t xml:space="preserve">"N"</w:t>
      </w:r>
      <w:r>
        <w:rPr>
          <w:color w:val="555555"/>
          <w:sz w:val="20"/>
          <w:szCs w:val="20"/>
        </w:rPr>
        <w:t xml:space="preserve"> é o número de ações elegíveis com o dado.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a ação com o melhor valor do dia recebe 100, a pior recebe 0, e as outras ficam no meio, na ordem.</w:t>
      </w:r>
    </w:p>
    <w:p>
      <w:pPr>
        <w:spacing w:after="120" w:line="300"/>
        <w:jc w:val="both"/>
      </w:pPr>
      <w:r>
        <w:t xml:space="preserve">Nos indicadores em que </w:t>
      </w:r>
      <w:r>
        <w:rPr>
          <w:b/>
          <w:bCs/>
        </w:rPr>
        <w:t xml:space="preserve">menor é melhor</w:t>
      </w:r>
      <w:r>
        <w:t xml:space="preserve"> (endividamento, valuation, volatilidade, queda máxima), a ordem é invertida antes da nota. Valuation e endividamento são comparados </w:t>
      </w:r>
      <w:r>
        <w:rPr>
          <w:b/>
          <w:bCs/>
        </w:rPr>
        <w:t xml:space="preserve">dentro do setor</w:t>
      </w:r>
      <w:r>
        <w:t xml:space="preserve"> da B3, porque um banco e uma varejista não têm múltiplos comparáveis.</w:t>
      </w:r>
    </w:p>
    <w:p>
      <w:pPr>
        <w:pStyle w:val="Heading2"/>
        <w:keepNext/>
        <w:keepLines/>
      </w:pPr>
      <w:r>
        <w:t xml:space="preserve">Dados faltantes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Redistribuição:</w:t>
      </w:r>
      <w:r>
        <w:t xml:space="preserve"> se faltar um subitem, o peso dele é dividido entre os outros subitens do mesmo pilar.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Mínimo de dados:</w:t>
      </w:r>
      <w:r>
        <w:t xml:space="preserve"> a ação só recebe Score se tiver pelo menos 70% do peso total com dado. Abaixo disso, aparece como "dados insuficientes".</w:t>
      </w:r>
    </w:p>
    <w:p>
      <w:pPr>
        <w:pStyle w:val="Heading1"/>
        <w:keepNext/>
        <w:keepLines/>
        <w:pageBreakBefore/>
      </w:pPr>
      <w:r>
        <w:t xml:space="preserve">4. Pilar 1 — Momentum técnico</w:t>
      </w:r>
    </w:p>
    <w:p>
      <w:pPr>
        <w:spacing w:after="120" w:line="300"/>
        <w:jc w:val="both"/>
      </w:pPr>
      <w:r>
        <w:t xml:space="preserve">Peso </w:t>
      </w:r>
      <w:r>
        <w:rPr>
          <w:b/>
          <w:bCs/>
        </w:rPr>
        <w:t xml:space="preserve">30%</w:t>
      </w:r>
      <w:r>
        <w:t xml:space="preserve"> no Score. Mede se o preço está em tendência de alta e mais forte que o mercado. É o fator com mais evidência acadêmica de persistência no médio prazo (Jegadeesh e Titman, 1993; George e Hwang, 2004).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2700"/>
      </w:tblGrid>
      <w:tr>
        <w:trPr>
          <w:cantSplit/>
          <w:tblHeader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 no pilar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1.1 Momentum de 12 meses sem o último mês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B3 COTAHIST (fechamento ajustado)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1.2 Força relativa contra o Ibovespa (6 meses)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B3 COTAHIST e B3 Índices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1.3 Tendência pela média de 200 pregões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B3 COTAHIST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1.4 Proximidade da máxima de 52 semanas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B3 COTAHIST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1.5 Confirmação pelo volume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B3 COTAHIST (volume financeiro)</w:t>
            </w:r>
          </w:p>
        </w:tc>
      </w:tr>
    </w:tbl>
    <w:p>
      <w:pPr>
        <w:pStyle w:val="Heading3"/>
        <w:keepNext/>
        <w:keepLines/>
      </w:pPr>
      <w:r>
        <w:t xml:space="preserve">1.1 Momentum de 12 meses sem o último mês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R₁₂₋₁ = Pₜ₋₂₁ / Pₜ₋₂₅₂ − 1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"R₁₂₋₁"</w:t>
      </w:r>
      <w:r>
        <w:rPr>
          <w:color w:val="555555"/>
          <w:sz w:val="20"/>
          <w:szCs w:val="20"/>
        </w:rPr>
        <w:t xml:space="preserve"> é igual ao preço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 no pregão </w:t>
      </w:r>
      <w:r>
        <w:rPr>
          <w:b/>
          <w:bCs/>
          <w:color w:val="555555"/>
          <w:sz w:val="20"/>
          <w:szCs w:val="20"/>
        </w:rPr>
        <w:t xml:space="preserve">"t − 21"</w:t>
      </w:r>
      <w:r>
        <w:rPr>
          <w:color w:val="555555"/>
          <w:sz w:val="20"/>
          <w:szCs w:val="20"/>
        </w:rPr>
        <w:t xml:space="preserve"> dividido pelo preço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 no pregão </w:t>
      </w:r>
      <w:r>
        <w:rPr>
          <w:b/>
          <w:bCs/>
          <w:color w:val="555555"/>
          <w:sz w:val="20"/>
          <w:szCs w:val="20"/>
        </w:rPr>
        <w:t xml:space="preserve">"t − 252"</w:t>
      </w:r>
      <w:r>
        <w:rPr>
          <w:color w:val="555555"/>
          <w:sz w:val="20"/>
          <w:szCs w:val="20"/>
        </w:rPr>
        <w:t xml:space="preserve">, menos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; onde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pregão de hoje.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a ação subiu nos últimos 12 meses, sem contar o último mês (o último mês costuma devolver parte da alta e atrapalha a leitura).</w:t>
      </w:r>
    </w:p>
    <w:p>
      <w:pPr>
        <w:pStyle w:val="Heading3"/>
        <w:keepNext/>
        <w:keepLines/>
      </w:pPr>
      <w:r>
        <w:t xml:space="preserve">1.2 Força relativa contra o Ibovespa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FR = (1 + Rₐ,₁₂₆) / (1 + R_IBOV,₁₂₆) − 1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"FR"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o retorno da ação </w:t>
      </w:r>
      <w:r>
        <w:rPr>
          <w:b/>
          <w:bCs/>
          <w:color w:val="555555"/>
          <w:sz w:val="20"/>
          <w:szCs w:val="20"/>
        </w:rPr>
        <w:t xml:space="preserve">"Rₐ"</w:t>
      </w:r>
      <w:r>
        <w:rPr>
          <w:color w:val="555555"/>
          <w:sz w:val="20"/>
          <w:szCs w:val="20"/>
        </w:rPr>
        <w:t xml:space="preserve"> em </w:t>
      </w:r>
      <w:r>
        <w:rPr>
          <w:b/>
          <w:bCs/>
          <w:color w:val="555555"/>
          <w:sz w:val="20"/>
          <w:szCs w:val="20"/>
        </w:rPr>
        <w:t xml:space="preserve">"126"</w:t>
      </w:r>
      <w:r>
        <w:rPr>
          <w:color w:val="555555"/>
          <w:sz w:val="20"/>
          <w:szCs w:val="20"/>
        </w:rPr>
        <w:t xml:space="preserve"> pregões, dividido por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o retorno do Ibovespa </w:t>
      </w:r>
      <w:r>
        <w:rPr>
          <w:b/>
          <w:bCs/>
          <w:color w:val="555555"/>
          <w:sz w:val="20"/>
          <w:szCs w:val="20"/>
        </w:rPr>
        <w:t xml:space="preserve">"R_IBOV"</w:t>
      </w:r>
      <w:r>
        <w:rPr>
          <w:color w:val="555555"/>
          <w:sz w:val="20"/>
          <w:szCs w:val="20"/>
        </w:rPr>
        <w:t xml:space="preserve"> nos mesmos </w:t>
      </w:r>
      <w:r>
        <w:rPr>
          <w:b/>
          <w:bCs/>
          <w:color w:val="555555"/>
          <w:sz w:val="20"/>
          <w:szCs w:val="20"/>
        </w:rPr>
        <w:t xml:space="preserve">"126"</w:t>
      </w:r>
      <w:r>
        <w:rPr>
          <w:color w:val="555555"/>
          <w:sz w:val="20"/>
          <w:szCs w:val="20"/>
        </w:rPr>
        <w:t xml:space="preserve"> pregões, menos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a ação andou melhor ou pior que o Ibovespa nos últimos 6 meses.</w:t>
      </w:r>
    </w:p>
    <w:p>
      <w:pPr>
        <w:pStyle w:val="Heading3"/>
        <w:keepNext/>
        <w:keepLines/>
      </w:pPr>
      <w:r>
        <w:t xml:space="preserve">1.3 Tendência pela média de 200 pregões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T = 0,7 · (Pₜ / MM₂₀₀ − 1) + 0,3 · (MM₂₀₀,ₜ / MM₂₀₀,ₜ₋₂₁ − 1)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"0,7"</w:t>
      </w:r>
      <w:r>
        <w:rPr>
          <w:color w:val="555555"/>
          <w:sz w:val="20"/>
          <w:szCs w:val="20"/>
        </w:rPr>
        <w:t xml:space="preserve"> vezes o preço de hoje </w:t>
      </w:r>
      <w:r>
        <w:rPr>
          <w:b/>
          <w:bCs/>
          <w:color w:val="555555"/>
          <w:sz w:val="20"/>
          <w:szCs w:val="20"/>
        </w:rPr>
        <w:t xml:space="preserve">"Pₜ"</w:t>
      </w:r>
      <w:r>
        <w:rPr>
          <w:color w:val="555555"/>
          <w:sz w:val="20"/>
          <w:szCs w:val="20"/>
        </w:rPr>
        <w:t xml:space="preserve"> dividido pela média móvel de </w:t>
      </w:r>
      <w:r>
        <w:rPr>
          <w:b/>
          <w:bCs/>
          <w:color w:val="555555"/>
          <w:sz w:val="20"/>
          <w:szCs w:val="20"/>
        </w:rPr>
        <w:t xml:space="preserve">"200"</w:t>
      </w:r>
      <w:r>
        <w:rPr>
          <w:color w:val="555555"/>
          <w:sz w:val="20"/>
          <w:szCs w:val="20"/>
        </w:rPr>
        <w:t xml:space="preserve"> pregões </w:t>
      </w:r>
      <w:r>
        <w:rPr>
          <w:b/>
          <w:bCs/>
          <w:color w:val="555555"/>
          <w:sz w:val="20"/>
          <w:szCs w:val="20"/>
        </w:rPr>
        <w:t xml:space="preserve">"MM₂₀₀"</w:t>
      </w:r>
      <w:r>
        <w:rPr>
          <w:color w:val="555555"/>
          <w:sz w:val="20"/>
          <w:szCs w:val="20"/>
        </w:rPr>
        <w:t xml:space="preserve">, menos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; mais </w:t>
      </w:r>
      <w:r>
        <w:rPr>
          <w:b/>
          <w:bCs/>
          <w:color w:val="555555"/>
          <w:sz w:val="20"/>
          <w:szCs w:val="20"/>
        </w:rPr>
        <w:t xml:space="preserve">"0,3"</w:t>
      </w:r>
      <w:r>
        <w:rPr>
          <w:color w:val="555555"/>
          <w:sz w:val="20"/>
          <w:szCs w:val="20"/>
        </w:rPr>
        <w:t xml:space="preserve"> vezes a média </w:t>
      </w:r>
      <w:r>
        <w:rPr>
          <w:b/>
          <w:bCs/>
          <w:color w:val="555555"/>
          <w:sz w:val="20"/>
          <w:szCs w:val="20"/>
        </w:rPr>
        <w:t xml:space="preserve">"MM₂₀₀"</w:t>
      </w:r>
      <w:r>
        <w:rPr>
          <w:color w:val="555555"/>
          <w:sz w:val="20"/>
          <w:szCs w:val="20"/>
        </w:rPr>
        <w:t xml:space="preserve"> de hoje dividida pela média </w:t>
      </w:r>
      <w:r>
        <w:rPr>
          <w:b/>
          <w:bCs/>
          <w:color w:val="555555"/>
          <w:sz w:val="20"/>
          <w:szCs w:val="20"/>
        </w:rPr>
        <w:t xml:space="preserve">"MM₂₀₀"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"21"</w:t>
      </w:r>
      <w:r>
        <w:rPr>
          <w:color w:val="555555"/>
          <w:sz w:val="20"/>
          <w:szCs w:val="20"/>
        </w:rPr>
        <w:t xml:space="preserve"> pregões atrás, menos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premia a ação que está acima da sua média longa e cuja média longa está subindo.</w:t>
      </w:r>
    </w:p>
    <w:p>
      <w:pPr>
        <w:pStyle w:val="Heading3"/>
        <w:keepNext/>
        <w:keepLines/>
      </w:pPr>
      <w:r>
        <w:t xml:space="preserve">1.4 Proximidade da máxima de 52 semanas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M52 = Pₜ / máx(Pₜ₋₂₅₁ … Pₜ)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"M52"</w:t>
      </w:r>
      <w:r>
        <w:rPr>
          <w:color w:val="555555"/>
          <w:sz w:val="20"/>
          <w:szCs w:val="20"/>
        </w:rPr>
        <w:t xml:space="preserve"> é igual ao preço de hoje </w:t>
      </w:r>
      <w:r>
        <w:rPr>
          <w:b/>
          <w:bCs/>
          <w:color w:val="555555"/>
          <w:sz w:val="20"/>
          <w:szCs w:val="20"/>
        </w:rPr>
        <w:t xml:space="preserve">"Pₜ"</w:t>
      </w:r>
      <w:r>
        <w:rPr>
          <w:color w:val="555555"/>
          <w:sz w:val="20"/>
          <w:szCs w:val="20"/>
        </w:rPr>
        <w:t xml:space="preserve"> dividido pelo maior preço </w:t>
      </w:r>
      <w:r>
        <w:rPr>
          <w:b/>
          <w:bCs/>
          <w:color w:val="555555"/>
          <w:sz w:val="20"/>
          <w:szCs w:val="20"/>
        </w:rPr>
        <w:t xml:space="preserve">"máx"</w:t>
      </w:r>
      <w:r>
        <w:rPr>
          <w:color w:val="555555"/>
          <w:sz w:val="20"/>
          <w:szCs w:val="20"/>
        </w:rPr>
        <w:t xml:space="preserve"> entre os pregões </w:t>
      </w:r>
      <w:r>
        <w:rPr>
          <w:b/>
          <w:bCs/>
          <w:color w:val="555555"/>
          <w:sz w:val="20"/>
          <w:szCs w:val="20"/>
        </w:rPr>
        <w:t xml:space="preserve">"t − 251"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mais perto da máxima do último ano, melhor; ações perto da máxima tendem a continuar subindo mais do que se espera.</w:t>
      </w:r>
    </w:p>
    <w:p>
      <w:pPr>
        <w:pStyle w:val="Heading3"/>
        <w:keepNext/>
        <w:keepLines/>
      </w:pPr>
      <w:r>
        <w:t xml:space="preserve">1.5 Confirmação pelo volume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 = média(Vol, 21) / média(Vol, 126)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é igual à média do volume financeiro </w:t>
      </w:r>
      <w:r>
        <w:rPr>
          <w:b/>
          <w:bCs/>
          <w:color w:val="555555"/>
          <w:sz w:val="20"/>
          <w:szCs w:val="20"/>
        </w:rPr>
        <w:t xml:space="preserve">"Vol"</w:t>
      </w:r>
      <w:r>
        <w:rPr>
          <w:color w:val="555555"/>
          <w:sz w:val="20"/>
          <w:szCs w:val="20"/>
        </w:rPr>
        <w:t xml:space="preserve"> dos últimos </w:t>
      </w:r>
      <w:r>
        <w:rPr>
          <w:b/>
          <w:bCs/>
          <w:color w:val="555555"/>
          <w:sz w:val="20"/>
          <w:szCs w:val="20"/>
        </w:rPr>
        <w:t xml:space="preserve">"21"</w:t>
      </w:r>
      <w:r>
        <w:rPr>
          <w:color w:val="555555"/>
          <w:sz w:val="20"/>
          <w:szCs w:val="20"/>
        </w:rPr>
        <w:t xml:space="preserve"> pregões dividida pela média do volume </w:t>
      </w:r>
      <w:r>
        <w:rPr>
          <w:b/>
          <w:bCs/>
          <w:color w:val="555555"/>
          <w:sz w:val="20"/>
          <w:szCs w:val="20"/>
        </w:rPr>
        <w:t xml:space="preserve">"Vol"</w:t>
      </w:r>
      <w:r>
        <w:rPr>
          <w:color w:val="555555"/>
          <w:sz w:val="20"/>
          <w:szCs w:val="20"/>
        </w:rPr>
        <w:t xml:space="preserve"> dos últimos </w:t>
      </w:r>
      <w:r>
        <w:rPr>
          <w:b/>
          <w:bCs/>
          <w:color w:val="555555"/>
          <w:sz w:val="20"/>
          <w:szCs w:val="20"/>
        </w:rPr>
        <w:t xml:space="preserve">"126"</w:t>
      </w:r>
      <w:r>
        <w:rPr>
          <w:color w:val="555555"/>
          <w:sz w:val="20"/>
          <w:szCs w:val="20"/>
        </w:rPr>
        <w:t xml:space="preserve"> pregões.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alta com volume crescente é mais confiável do que alta com pouco negócio.</w:t>
      </w:r>
    </w:p>
    <w:p>
      <w:pPr>
        <w:pStyle w:val="Heading1"/>
        <w:keepNext/>
        <w:keepLines/>
        <w:pageBreakBefore/>
      </w:pPr>
      <w:r>
        <w:t xml:space="preserve">5. Pilar 2 — Fundamentos</w:t>
      </w:r>
    </w:p>
    <w:p>
      <w:pPr>
        <w:spacing w:after="120" w:line="300"/>
        <w:jc w:val="both"/>
      </w:pPr>
      <w:r>
        <w:t xml:space="preserve">Peso </w:t>
      </w:r>
      <w:r>
        <w:rPr>
          <w:b/>
          <w:bCs/>
        </w:rPr>
        <w:t xml:space="preserve">30%</w:t>
      </w:r>
      <w:r>
        <w:t xml:space="preserve"> no Score. Mede se a empresa ganha dinheiro de forma sólida e se o preço da ação é razoável frente ao setor. Dados das demonstrações entregues à CVM (DFP anual e ITR trimestral, dados abertos), sempre nos últimos 12 meses.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2700"/>
      </w:tblGrid>
      <w:tr>
        <w:trPr>
          <w:cantSplit/>
          <w:tblHeader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 no pilar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2.1 Rentabilidade (ROE e ROIC)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30%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DFP/ITR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2.2 Qualidade do lucro (margem e caixa)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DFP/ITR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2.3 Solidez financeira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25%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DFP/ITR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2.4 Preço relativo ao setor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25%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DFP/ITR, B3 COTAHIST e setor B3</w:t>
            </w:r>
          </w:p>
        </w:tc>
      </w:tr>
    </w:tbl>
    <w:p>
      <w:pPr>
        <w:pStyle w:val="Heading3"/>
        <w:keepNext/>
        <w:keepLines/>
      </w:pPr>
      <w:r>
        <w:t xml:space="preserve">2.1 Rentabilidade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ROE = LL₁₂ / PL̄   e   ROIC = EBIT₁₂ · (1 − 0,34) / (PL̄ + DL̄)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"ROE"</w:t>
      </w:r>
      <w:r>
        <w:rPr>
          <w:color w:val="555555"/>
          <w:sz w:val="20"/>
          <w:szCs w:val="20"/>
        </w:rPr>
        <w:t xml:space="preserve"> é igual ao lucro líquido dos últimos 12 meses </w:t>
      </w:r>
      <w:r>
        <w:rPr>
          <w:b/>
          <w:bCs/>
          <w:color w:val="555555"/>
          <w:sz w:val="20"/>
          <w:szCs w:val="20"/>
        </w:rPr>
        <w:t xml:space="preserve">"LL₁₂"</w:t>
      </w:r>
      <w:r>
        <w:rPr>
          <w:color w:val="555555"/>
          <w:sz w:val="20"/>
          <w:szCs w:val="20"/>
        </w:rPr>
        <w:t xml:space="preserve"> dividido pelo patrimônio líquido médio </w:t>
      </w:r>
      <w:r>
        <w:rPr>
          <w:b/>
          <w:bCs/>
          <w:color w:val="555555"/>
          <w:sz w:val="20"/>
          <w:szCs w:val="20"/>
        </w:rPr>
        <w:t xml:space="preserve">"PL̄"</w:t>
      </w:r>
      <w:r>
        <w:rPr>
          <w:color w:val="555555"/>
          <w:sz w:val="20"/>
          <w:szCs w:val="20"/>
        </w:rPr>
        <w:t xml:space="preserve">; </w:t>
      </w:r>
      <w:r>
        <w:rPr>
          <w:b/>
          <w:bCs/>
          <w:color w:val="555555"/>
          <w:sz w:val="20"/>
          <w:szCs w:val="20"/>
        </w:rPr>
        <w:t xml:space="preserve">"ROIC"</w:t>
      </w:r>
      <w:r>
        <w:rPr>
          <w:color w:val="555555"/>
          <w:sz w:val="20"/>
          <w:szCs w:val="20"/>
        </w:rPr>
        <w:t xml:space="preserve"> é igual ao </w:t>
      </w:r>
      <w:r>
        <w:rPr>
          <w:b/>
          <w:bCs/>
          <w:color w:val="555555"/>
          <w:sz w:val="20"/>
          <w:szCs w:val="20"/>
        </w:rPr>
        <w:t xml:space="preserve">"EBIT₁₂"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"0,34"</w:t>
      </w:r>
      <w:r>
        <w:rPr>
          <w:color w:val="555555"/>
          <w:sz w:val="20"/>
          <w:szCs w:val="20"/>
        </w:rPr>
        <w:t xml:space="preserve">, dividido pela soma do patrimônio líquido médio </w:t>
      </w:r>
      <w:r>
        <w:rPr>
          <w:b/>
          <w:bCs/>
          <w:color w:val="555555"/>
          <w:sz w:val="20"/>
          <w:szCs w:val="20"/>
        </w:rPr>
        <w:t xml:space="preserve">"PL̄"</w:t>
      </w:r>
      <w:r>
        <w:rPr>
          <w:color w:val="555555"/>
          <w:sz w:val="20"/>
          <w:szCs w:val="20"/>
        </w:rPr>
        <w:t xml:space="preserve"> com a dívida líquida média </w:t>
      </w:r>
      <w:r>
        <w:rPr>
          <w:b/>
          <w:bCs/>
          <w:color w:val="555555"/>
          <w:sz w:val="20"/>
          <w:szCs w:val="20"/>
        </w:rPr>
        <w:t xml:space="preserve">"DL̄"</w:t>
      </w:r>
      <w:r>
        <w:rPr>
          <w:color w:val="555555"/>
          <w:sz w:val="20"/>
          <w:szCs w:val="20"/>
        </w:rPr>
        <w:t xml:space="preserve">. A nota do subitem é a média das notas de </w:t>
      </w:r>
      <w:r>
        <w:rPr>
          <w:b/>
          <w:bCs/>
          <w:color w:val="555555"/>
          <w:sz w:val="20"/>
          <w:szCs w:val="20"/>
        </w:rPr>
        <w:t xml:space="preserve">"ROE"</w:t>
      </w:r>
      <w:r>
        <w:rPr>
          <w:color w:val="555555"/>
          <w:sz w:val="20"/>
          <w:szCs w:val="20"/>
        </w:rPr>
        <w:t xml:space="preserve"> e de </w:t>
      </w:r>
      <w:r>
        <w:rPr>
          <w:b/>
          <w:bCs/>
          <w:color w:val="555555"/>
          <w:sz w:val="20"/>
          <w:szCs w:val="20"/>
        </w:rPr>
        <w:t xml:space="preserve">"ROIC"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a empresa lucra sobre o dinheiro dos sócios e sobre todo o capital que usa, já descontado o imposto.</w:t>
      </w:r>
    </w:p>
    <w:p>
      <w:pPr>
        <w:pStyle w:val="Heading3"/>
        <w:keepNext/>
        <w:keepLines/>
      </w:pPr>
      <w:r>
        <w:t xml:space="preserve">2.2 Qualidade do lucro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Q = 0,5 · nota(Margem EBITDA) + 0,5 · nota(FCO₁₂ / LL₁₂)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"Q"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"0,5"</w:t>
      </w:r>
      <w:r>
        <w:rPr>
          <w:color w:val="555555"/>
          <w:sz w:val="20"/>
          <w:szCs w:val="20"/>
        </w:rPr>
        <w:t xml:space="preserve"> vezes a nota da margem </w:t>
      </w:r>
      <w:r>
        <w:rPr>
          <w:b/>
          <w:bCs/>
          <w:color w:val="555555"/>
          <w:sz w:val="20"/>
          <w:szCs w:val="20"/>
        </w:rPr>
        <w:t xml:space="preserve">"EBITDA"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"0,5"</w:t>
      </w:r>
      <w:r>
        <w:rPr>
          <w:color w:val="555555"/>
          <w:sz w:val="20"/>
          <w:szCs w:val="20"/>
        </w:rPr>
        <w:t xml:space="preserve"> vezes a nota da razão entre o fluxo de caixa operacional </w:t>
      </w:r>
      <w:r>
        <w:rPr>
          <w:b/>
          <w:bCs/>
          <w:color w:val="555555"/>
          <w:sz w:val="20"/>
          <w:szCs w:val="20"/>
        </w:rPr>
        <w:t xml:space="preserve">"FCO₁₂"</w:t>
      </w:r>
      <w:r>
        <w:rPr>
          <w:color w:val="555555"/>
          <w:sz w:val="20"/>
          <w:szCs w:val="20"/>
        </w:rPr>
        <w:t xml:space="preserve"> e o lucro líquido </w:t>
      </w:r>
      <w:r>
        <w:rPr>
          <w:b/>
          <w:bCs/>
          <w:color w:val="555555"/>
          <w:sz w:val="20"/>
          <w:szCs w:val="20"/>
        </w:rPr>
        <w:t xml:space="preserve">"LL₁₂"</w:t>
      </w:r>
      <w:r>
        <w:rPr>
          <w:color w:val="555555"/>
          <w:sz w:val="20"/>
          <w:szCs w:val="20"/>
        </w:rPr>
        <w:t xml:space="preserve">, ambos dos últimos 12 meses.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lucro bom é lucro que vira caixa; a empresa que lucra no papel mas não gera caixa perde pontos.</w:t>
      </w:r>
    </w:p>
    <w:p>
      <w:pPr>
        <w:pStyle w:val="Heading3"/>
        <w:keepNext/>
        <w:keepLines/>
      </w:pPr>
      <w:r>
        <w:t xml:space="preserve">2.3 Solidez financeira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Sol = 0,6 · nota_inv(DL / EBITDA₁₂) + 0,4 · nota(EBIT₁₂ / DF₁₂)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"Sol"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"0,6"</w:t>
      </w:r>
      <w:r>
        <w:rPr>
          <w:color w:val="555555"/>
          <w:sz w:val="20"/>
          <w:szCs w:val="20"/>
        </w:rPr>
        <w:t xml:space="preserve"> vezes a nota invertida da dívida líquida </w:t>
      </w:r>
      <w:r>
        <w:rPr>
          <w:b/>
          <w:bCs/>
          <w:color w:val="555555"/>
          <w:sz w:val="20"/>
          <w:szCs w:val="20"/>
        </w:rPr>
        <w:t xml:space="preserve">"DL"</w:t>
      </w:r>
      <w:r>
        <w:rPr>
          <w:color w:val="555555"/>
          <w:sz w:val="20"/>
          <w:szCs w:val="20"/>
        </w:rPr>
        <w:t xml:space="preserve"> dividida pelo </w:t>
      </w:r>
      <w:r>
        <w:rPr>
          <w:b/>
          <w:bCs/>
          <w:color w:val="555555"/>
          <w:sz w:val="20"/>
          <w:szCs w:val="20"/>
        </w:rPr>
        <w:t xml:space="preserve">"EBITDA₁₂"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"0,4"</w:t>
      </w:r>
      <w:r>
        <w:rPr>
          <w:color w:val="555555"/>
          <w:sz w:val="20"/>
          <w:szCs w:val="20"/>
        </w:rPr>
        <w:t xml:space="preserve"> vezes a nota do </w:t>
      </w:r>
      <w:r>
        <w:rPr>
          <w:b/>
          <w:bCs/>
          <w:color w:val="555555"/>
          <w:sz w:val="20"/>
          <w:szCs w:val="20"/>
        </w:rPr>
        <w:t xml:space="preserve">"EBIT₁₂"</w:t>
      </w:r>
      <w:r>
        <w:rPr>
          <w:color w:val="555555"/>
          <w:sz w:val="20"/>
          <w:szCs w:val="20"/>
        </w:rPr>
        <w:t xml:space="preserve"> dividido pelas despesas financeiras </w:t>
      </w:r>
      <w:r>
        <w:rPr>
          <w:b/>
          <w:bCs/>
          <w:color w:val="555555"/>
          <w:sz w:val="20"/>
          <w:szCs w:val="20"/>
        </w:rPr>
        <w:t xml:space="preserve">"DF₁₂"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empresa pouco endividada e que paga os juros com folga recebe nota alta. Para bancos e seguradoras, que têm balanço diferente, este subitem usa o índice de Basileia ou é redistribuído.</w:t>
      </w:r>
    </w:p>
    <w:p>
      <w:pPr>
        <w:pStyle w:val="Heading3"/>
        <w:keepNext/>
        <w:keepLines/>
      </w:pPr>
      <w:r>
        <w:t xml:space="preserve">2.4 Preço relativo ao setor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Val = 0,5 · nota_inv(EV / EBITDA₁₂) + 0,5 · nota_inv(P / L)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"Val"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"0,5"</w:t>
      </w:r>
      <w:r>
        <w:rPr>
          <w:color w:val="555555"/>
          <w:sz w:val="20"/>
          <w:szCs w:val="20"/>
        </w:rPr>
        <w:t xml:space="preserve"> vezes a nota invertida de </w:t>
      </w:r>
      <w:r>
        <w:rPr>
          <w:b/>
          <w:bCs/>
          <w:color w:val="555555"/>
          <w:sz w:val="20"/>
          <w:szCs w:val="20"/>
        </w:rPr>
        <w:t xml:space="preserve">"EV"</w:t>
      </w:r>
      <w:r>
        <w:rPr>
          <w:color w:val="555555"/>
          <w:sz w:val="20"/>
          <w:szCs w:val="20"/>
        </w:rPr>
        <w:t xml:space="preserve"> sobre </w:t>
      </w:r>
      <w:r>
        <w:rPr>
          <w:b/>
          <w:bCs/>
          <w:color w:val="555555"/>
          <w:sz w:val="20"/>
          <w:szCs w:val="20"/>
        </w:rPr>
        <w:t xml:space="preserve">"EBITDA₁₂"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"0,5"</w:t>
      </w:r>
      <w:r>
        <w:rPr>
          <w:color w:val="555555"/>
          <w:sz w:val="20"/>
          <w:szCs w:val="20"/>
        </w:rPr>
        <w:t xml:space="preserve"> vezes a nota invertida do preço sobre o lucro </w:t>
      </w:r>
      <w:r>
        <w:rPr>
          <w:b/>
          <w:bCs/>
          <w:color w:val="555555"/>
          <w:sz w:val="20"/>
          <w:szCs w:val="20"/>
        </w:rPr>
        <w:t xml:space="preserve">"P / L"</w:t>
      </w:r>
      <w:r>
        <w:rPr>
          <w:color w:val="555555"/>
          <w:sz w:val="20"/>
          <w:szCs w:val="20"/>
        </w:rPr>
        <w:t xml:space="preserve">; as duas notas são calculadas entre as empresas do mesmo setor da B3.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entre empresas parecidas, a que custa menos pelo que lucra ganha mais pontos. Lucro negativo recebe a nota mais baixa no P/L.</w:t>
      </w:r>
    </w:p>
    <w:p>
      <w:pPr>
        <w:pStyle w:val="Heading1"/>
        <w:keepNext/>
        <w:keepLines/>
        <w:pageBreakBefore/>
      </w:pPr>
      <w:r>
        <w:t xml:space="preserve">6. Pilar 3 — Aceleração</w:t>
      </w:r>
    </w:p>
    <w:p>
      <w:pPr>
        <w:spacing w:after="120" w:line="300"/>
        <w:jc w:val="both"/>
      </w:pPr>
      <w:r>
        <w:t xml:space="preserve">Peso </w:t>
      </w:r>
      <w:r>
        <w:rPr>
          <w:b/>
          <w:bCs/>
        </w:rPr>
        <w:t xml:space="preserve">20%</w:t>
      </w:r>
      <w:r>
        <w:t xml:space="preserve"> no Score. É o pilar que dá o sentido de </w:t>
      </w:r>
      <w:r>
        <w:rPr>
          <w:b/>
          <w:bCs/>
        </w:rPr>
        <w:t xml:space="preserve">exponencial</w:t>
      </w:r>
      <w:r>
        <w:t xml:space="preserve">: não basta crescer, o crescimento precisa estar ganhando velocidade. Dados trimestrais da CVM (ITR), sempre comparando 12 meses com os 12 meses anteriores, para tirar o efeito das estações do ano.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2700"/>
      </w:tblGrid>
      <w:tr>
        <w:trPr>
          <w:cantSplit/>
          <w:tblHeader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 no pilar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3.1 Crescimento da receita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30%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ITR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3.2 Aceleração da receita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30%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ITR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3.3 Crescimento do lucro operacional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ITR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3.4 Alavancagem operacional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ITR</w:t>
            </w:r>
          </w:p>
        </w:tc>
      </w:tr>
    </w:tbl>
    <w:p>
      <w:pPr>
        <w:pStyle w:val="Heading3"/>
        <w:keepNext/>
        <w:keepLines/>
      </w:pPr>
      <w:r>
        <w:t xml:space="preserve">3.1 Crescimento da receita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g = Rec₁₂(q) / Rec₁₂(q − 4) − 1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é igual à receita dos últimos 12 meses </w:t>
      </w:r>
      <w:r>
        <w:rPr>
          <w:b/>
          <w:bCs/>
          <w:color w:val="555555"/>
          <w:sz w:val="20"/>
          <w:szCs w:val="20"/>
        </w:rPr>
        <w:t xml:space="preserve">"Rec₁₂"</w:t>
      </w:r>
      <w:r>
        <w:rPr>
          <w:color w:val="555555"/>
          <w:sz w:val="20"/>
          <w:szCs w:val="20"/>
        </w:rPr>
        <w:t xml:space="preserve"> no trimestre </w:t>
      </w:r>
      <w:r>
        <w:rPr>
          <w:b/>
          <w:bCs/>
          <w:color w:val="555555"/>
          <w:sz w:val="20"/>
          <w:szCs w:val="20"/>
        </w:rPr>
        <w:t xml:space="preserve">"q"</w:t>
      </w:r>
      <w:r>
        <w:rPr>
          <w:color w:val="555555"/>
          <w:sz w:val="20"/>
          <w:szCs w:val="20"/>
        </w:rPr>
        <w:t xml:space="preserve"> dividida pela receita dos 12 meses </w:t>
      </w:r>
      <w:r>
        <w:rPr>
          <w:b/>
          <w:bCs/>
          <w:color w:val="555555"/>
          <w:sz w:val="20"/>
          <w:szCs w:val="20"/>
        </w:rPr>
        <w:t xml:space="preserve">"Rec₁₂"</w:t>
      </w:r>
      <w:r>
        <w:rPr>
          <w:color w:val="555555"/>
          <w:sz w:val="20"/>
          <w:szCs w:val="20"/>
        </w:rPr>
        <w:t xml:space="preserve"> quatro trimestres antes </w:t>
      </w:r>
      <w:r>
        <w:rPr>
          <w:b/>
          <w:bCs/>
          <w:color w:val="555555"/>
          <w:sz w:val="20"/>
          <w:szCs w:val="20"/>
        </w:rPr>
        <w:t xml:space="preserve">"q − 4"</w:t>
      </w:r>
      <w:r>
        <w:rPr>
          <w:color w:val="555555"/>
          <w:sz w:val="20"/>
          <w:szCs w:val="20"/>
        </w:rPr>
        <w:t xml:space="preserve">, menos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a receita cresceu em um ano.</w:t>
      </w:r>
    </w:p>
    <w:p>
      <w:pPr>
        <w:pStyle w:val="Heading3"/>
        <w:keepNext/>
        <w:keepLines/>
      </w:pPr>
      <w:r>
        <w:t xml:space="preserve">3.2 Aceleração da receita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Δg = g(q) − g(q − 1)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"Δg"</w:t>
      </w:r>
      <w:r>
        <w:rPr>
          <w:color w:val="555555"/>
          <w:sz w:val="20"/>
          <w:szCs w:val="20"/>
        </w:rPr>
        <w:t xml:space="preserve"> é igual ao crescimento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no trimestre </w:t>
      </w:r>
      <w:r>
        <w:rPr>
          <w:b/>
          <w:bCs/>
          <w:color w:val="555555"/>
          <w:sz w:val="20"/>
          <w:szCs w:val="20"/>
        </w:rPr>
        <w:t xml:space="preserve">"q"</w:t>
      </w:r>
      <w:r>
        <w:rPr>
          <w:color w:val="555555"/>
          <w:sz w:val="20"/>
          <w:szCs w:val="20"/>
        </w:rPr>
        <w:t xml:space="preserve"> menos o crescimento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no trimestre anterior </w:t>
      </w:r>
      <w:r>
        <w:rPr>
          <w:b/>
          <w:bCs/>
          <w:color w:val="555555"/>
          <w:sz w:val="20"/>
          <w:szCs w:val="20"/>
        </w:rPr>
        <w:t xml:space="preserve">"q − 1"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se o crescimento deste trimestre foi maior que o do anterior, a empresa está acelerando; é a "segunda derivada" do negócio.</w:t>
      </w:r>
    </w:p>
    <w:p>
      <w:pPr>
        <w:pStyle w:val="Heading3"/>
        <w:keepNext/>
        <w:keepLines/>
      </w:pPr>
      <w:r>
        <w:t xml:space="preserve">3.3 Crescimento do lucro operacional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gₑ = EBIT₁₂(q) / EBIT₁₂(q − 4) − 1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"gₑ"</w:t>
      </w:r>
      <w:r>
        <w:rPr>
          <w:color w:val="555555"/>
          <w:sz w:val="20"/>
          <w:szCs w:val="20"/>
        </w:rPr>
        <w:t xml:space="preserve"> é igual ao </w:t>
      </w:r>
      <w:r>
        <w:rPr>
          <w:b/>
          <w:bCs/>
          <w:color w:val="555555"/>
          <w:sz w:val="20"/>
          <w:szCs w:val="20"/>
        </w:rPr>
        <w:t xml:space="preserve">"EBIT₁₂"</w:t>
      </w:r>
      <w:r>
        <w:rPr>
          <w:color w:val="555555"/>
          <w:sz w:val="20"/>
          <w:szCs w:val="20"/>
        </w:rPr>
        <w:t xml:space="preserve"> no trimestre </w:t>
      </w:r>
      <w:r>
        <w:rPr>
          <w:b/>
          <w:bCs/>
          <w:color w:val="555555"/>
          <w:sz w:val="20"/>
          <w:szCs w:val="20"/>
        </w:rPr>
        <w:t xml:space="preserve">"q"</w:t>
      </w:r>
      <w:r>
        <w:rPr>
          <w:color w:val="555555"/>
          <w:sz w:val="20"/>
          <w:szCs w:val="20"/>
        </w:rPr>
        <w:t xml:space="preserve"> dividido pelo </w:t>
      </w:r>
      <w:r>
        <w:rPr>
          <w:b/>
          <w:bCs/>
          <w:color w:val="555555"/>
          <w:sz w:val="20"/>
          <w:szCs w:val="20"/>
        </w:rPr>
        <w:t xml:space="preserve">"EBIT₁₂"</w:t>
      </w:r>
      <w:r>
        <w:rPr>
          <w:color w:val="555555"/>
          <w:sz w:val="20"/>
          <w:szCs w:val="20"/>
        </w:rPr>
        <w:t xml:space="preserve"> quatro trimestres antes </w:t>
      </w:r>
      <w:r>
        <w:rPr>
          <w:b/>
          <w:bCs/>
          <w:color w:val="555555"/>
          <w:sz w:val="20"/>
          <w:szCs w:val="20"/>
        </w:rPr>
        <w:t xml:space="preserve">"q − 4"</w:t>
      </w:r>
      <w:r>
        <w:rPr>
          <w:color w:val="555555"/>
          <w:sz w:val="20"/>
          <w:szCs w:val="20"/>
        </w:rPr>
        <w:t xml:space="preserve">, menos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. Quando o </w:t>
      </w:r>
      <w:r>
        <w:rPr>
          <w:b/>
          <w:bCs/>
          <w:color w:val="555555"/>
          <w:sz w:val="20"/>
          <w:szCs w:val="20"/>
        </w:rPr>
        <w:t xml:space="preserve">"EBIT₁₂"</w:t>
      </w:r>
      <w:r>
        <w:rPr>
          <w:color w:val="555555"/>
          <w:sz w:val="20"/>
          <w:szCs w:val="20"/>
        </w:rPr>
        <w:t xml:space="preserve"> anterior é negativo ou próximo de zero, o subitem é redistribuído.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o lucro da operação cresceu em um ano.</w:t>
      </w:r>
    </w:p>
    <w:p>
      <w:pPr>
        <w:pStyle w:val="Heading3"/>
        <w:keepNext/>
        <w:keepLines/>
      </w:pPr>
      <w:r>
        <w:t xml:space="preserve">3.4 Alavancagem operacional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AO = gₑ / g   (só quando g &gt; 0)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"AO"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"gₑ"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, calculado apenas quando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é maior que </w:t>
      </w:r>
      <w:r>
        <w:rPr>
          <w:b/>
          <w:bCs/>
          <w:color w:val="555555"/>
          <w:sz w:val="20"/>
          <w:szCs w:val="20"/>
        </w:rPr>
        <w:t xml:space="preserve">"0"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se o lucro cresce mais rápido que a receita, cada real a mais vendido sobra mais no caixa: sinal de negócio que ganha escala.</w:t>
      </w:r>
    </w:p>
    <w:p>
      <w:pPr>
        <w:pStyle w:val="Heading1"/>
        <w:keepNext/>
        <w:keepLines/>
        <w:pageBreakBefore/>
      </w:pPr>
      <w:r>
        <w:t xml:space="preserve">7. Pilar 4 — Confluência e risco</w:t>
      </w:r>
    </w:p>
    <w:p>
      <w:pPr>
        <w:spacing w:after="120" w:line="300"/>
        <w:jc w:val="both"/>
      </w:pPr>
      <w:r>
        <w:t xml:space="preserve">Peso </w:t>
      </w:r>
      <w:r>
        <w:rPr>
          <w:b/>
          <w:bCs/>
        </w:rPr>
        <w:t xml:space="preserve">20%</w:t>
      </w:r>
      <w:r>
        <w:t xml:space="preserve"> no Score. Mede se os sinais apontam na mesma direção e se o risco e a liquidez permitem que o investidor entre e saia da posição. Inclui os </w:t>
      </w:r>
      <w:r>
        <w:rPr>
          <w:b/>
          <w:bCs/>
        </w:rPr>
        <w:t xml:space="preserve">alertas</w:t>
      </w:r>
      <w:r>
        <w:t xml:space="preserve">, que descontam pontos da nota final.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2700"/>
      </w:tblGrid>
      <w:tr>
        <w:trPr>
          <w:cantSplit/>
          <w:tblHeader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 no pilar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4.1 Concordância entre os pilares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Cálculo do próprio Score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4.2 Volatilidade (quanto menor, melhor)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25%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B3 COTAHIST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4.3 Queda máxima em 12 meses (quanto menor, melhor)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B3 COTAHIST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4.4 Liquidez</w:t>
            </w:r>
          </w:p>
        </w:tc>
        <w:tc>
          <w:tcPr>
            <w:tcW w:type="dxa" w:w="1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B3 COTAHIST (volume financeiro)</w:t>
            </w:r>
          </w:p>
        </w:tc>
      </w:tr>
    </w:tbl>
    <w:p>
      <w:pPr>
        <w:pStyle w:val="Heading3"/>
        <w:keepNext/>
        <w:keepLines/>
      </w:pPr>
      <w:r>
        <w:t xml:space="preserve">4.1 Concordância entre os pilares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Conc = 100 − 2 · dp(M, F, A)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"Conc"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"100"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"2"</w:t>
      </w:r>
      <w:r>
        <w:rPr>
          <w:color w:val="555555"/>
          <w:sz w:val="20"/>
          <w:szCs w:val="20"/>
        </w:rPr>
        <w:t xml:space="preserve"> vezes o desvio-padrão </w:t>
      </w:r>
      <w:r>
        <w:rPr>
          <w:b/>
          <w:bCs/>
          <w:color w:val="555555"/>
          <w:sz w:val="20"/>
          <w:szCs w:val="20"/>
        </w:rPr>
        <w:t xml:space="preserve">"dp"</w:t>
      </w:r>
      <w:r>
        <w:rPr>
          <w:color w:val="555555"/>
          <w:sz w:val="20"/>
          <w:szCs w:val="20"/>
        </w:rPr>
        <w:t xml:space="preserve"> das notas dos pilares </w:t>
      </w:r>
      <w:r>
        <w:rPr>
          <w:b/>
          <w:bCs/>
          <w:color w:val="555555"/>
          <w:sz w:val="20"/>
          <w:szCs w:val="20"/>
        </w:rPr>
        <w:t xml:space="preserve">"M"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"F"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"A"</w:t>
      </w:r>
      <w:r>
        <w:rPr>
          <w:color w:val="555555"/>
          <w:sz w:val="20"/>
          <w:szCs w:val="20"/>
        </w:rPr>
        <w:t xml:space="preserve">; o resultado é limitado entre </w:t>
      </w:r>
      <w:r>
        <w:rPr>
          <w:b/>
          <w:bCs/>
          <w:color w:val="555555"/>
          <w:sz w:val="20"/>
          <w:szCs w:val="20"/>
        </w:rPr>
        <w:t xml:space="preserve">"0"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"100"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quando os três pilares dão notas parecidas, os sinais concordam e a nota é alta; quando um diz "ótimo" e outro diz "fraco", a nota cai.</w:t>
      </w:r>
    </w:p>
    <w:p>
      <w:pPr>
        <w:pStyle w:val="Heading3"/>
        <w:keepNext/>
        <w:keepLines/>
      </w:pPr>
      <w:r>
        <w:t xml:space="preserve">4.2 Volatilidade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σ = dp(rᵢ, 63) · √252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"σ"</w:t>
      </w:r>
      <w:r>
        <w:rPr>
          <w:color w:val="555555"/>
          <w:sz w:val="20"/>
          <w:szCs w:val="20"/>
        </w:rPr>
        <w:t xml:space="preserve"> é igual ao desvio-padrão </w:t>
      </w:r>
      <w:r>
        <w:rPr>
          <w:b/>
          <w:bCs/>
          <w:color w:val="555555"/>
          <w:sz w:val="20"/>
          <w:szCs w:val="20"/>
        </w:rPr>
        <w:t xml:space="preserve">"dp"</w:t>
      </w:r>
      <w:r>
        <w:rPr>
          <w:color w:val="555555"/>
          <w:sz w:val="20"/>
          <w:szCs w:val="20"/>
        </w:rPr>
        <w:t xml:space="preserve"> dos retornos diários </w:t>
      </w:r>
      <w:r>
        <w:rPr>
          <w:b/>
          <w:bCs/>
          <w:color w:val="555555"/>
          <w:sz w:val="20"/>
          <w:szCs w:val="20"/>
        </w:rPr>
        <w:t xml:space="preserve">"rᵢ"</w:t>
      </w:r>
      <w:r>
        <w:rPr>
          <w:color w:val="555555"/>
          <w:sz w:val="20"/>
          <w:szCs w:val="20"/>
        </w:rPr>
        <w:t xml:space="preserve"> dos últimos </w:t>
      </w:r>
      <w:r>
        <w:rPr>
          <w:b/>
          <w:bCs/>
          <w:color w:val="555555"/>
          <w:sz w:val="20"/>
          <w:szCs w:val="20"/>
        </w:rPr>
        <w:t xml:space="preserve">"63"</w:t>
      </w:r>
      <w:r>
        <w:rPr>
          <w:color w:val="555555"/>
          <w:sz w:val="20"/>
          <w:szCs w:val="20"/>
        </w:rPr>
        <w:t xml:space="preserve"> pregões, vezes a raiz quadrada de </w:t>
      </w:r>
      <w:r>
        <w:rPr>
          <w:b/>
          <w:bCs/>
          <w:color w:val="555555"/>
          <w:sz w:val="20"/>
          <w:szCs w:val="20"/>
        </w:rPr>
        <w:t xml:space="preserve">"252"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mede o quanto o preço sacode; ações que sacodem menos para o mesmo ganho recebem nota maior.</w:t>
      </w:r>
    </w:p>
    <w:p>
      <w:pPr>
        <w:pStyle w:val="Heading3"/>
        <w:keepNext/>
        <w:keepLines/>
      </w:pPr>
      <w:r>
        <w:t xml:space="preserve">4.3 Queda máxima em 12 meses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QM = máx (1 − Pᵢ / máx(P₀ … Pᵢ)) ,  i em 252 pregões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"QM"</w:t>
      </w:r>
      <w:r>
        <w:rPr>
          <w:color w:val="555555"/>
          <w:sz w:val="20"/>
          <w:szCs w:val="20"/>
        </w:rPr>
        <w:t xml:space="preserve"> é igual ao maior valor, ao longo dos últimos </w:t>
      </w:r>
      <w:r>
        <w:rPr>
          <w:b/>
          <w:bCs/>
          <w:color w:val="555555"/>
          <w:sz w:val="20"/>
          <w:szCs w:val="20"/>
        </w:rPr>
        <w:t xml:space="preserve">"252"</w:t>
      </w:r>
      <w:r>
        <w:rPr>
          <w:color w:val="555555"/>
          <w:sz w:val="20"/>
          <w:szCs w:val="20"/>
        </w:rPr>
        <w:t xml:space="preserve"> pregões, de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o preço </w:t>
      </w:r>
      <w:r>
        <w:rPr>
          <w:b/>
          <w:bCs/>
          <w:color w:val="555555"/>
          <w:sz w:val="20"/>
          <w:szCs w:val="20"/>
        </w:rPr>
        <w:t xml:space="preserve">"Pᵢ"</w:t>
      </w:r>
      <w:r>
        <w:rPr>
          <w:color w:val="555555"/>
          <w:sz w:val="20"/>
          <w:szCs w:val="20"/>
        </w:rPr>
        <w:t xml:space="preserve"> dividido pelo maior preço já alcançado até o pregão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a maior queda que a ação teve, do pico até o fundo, no último ano.</w:t>
      </w:r>
    </w:p>
    <w:p>
      <w:pPr>
        <w:pStyle w:val="Heading3"/>
        <w:keepNext/>
        <w:keepLines/>
      </w:pPr>
      <w:r>
        <w:t xml:space="preserve">4.4 Liquidez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L = log₁₀(média(VolFin, 63))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b/>
          <w:bCs/>
          <w:color w:val="555555"/>
          <w:sz w:val="20"/>
          <w:szCs w:val="20"/>
        </w:rPr>
        <w:t xml:space="preserve">"L"</w:t>
      </w:r>
      <w:r>
        <w:rPr>
          <w:color w:val="555555"/>
          <w:sz w:val="20"/>
          <w:szCs w:val="20"/>
        </w:rPr>
        <w:t xml:space="preserve"> é igual ao logaritmo na base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 da média do volume financeiro </w:t>
      </w:r>
      <w:r>
        <w:rPr>
          <w:b/>
          <w:bCs/>
          <w:color w:val="555555"/>
          <w:sz w:val="20"/>
          <w:szCs w:val="20"/>
        </w:rPr>
        <w:t xml:space="preserve">"VolFin"</w:t>
      </w:r>
      <w:r>
        <w:rPr>
          <w:color w:val="555555"/>
          <w:sz w:val="20"/>
          <w:szCs w:val="20"/>
        </w:rPr>
        <w:t xml:space="preserve"> dos últimos </w:t>
      </w:r>
      <w:r>
        <w:rPr>
          <w:b/>
          <w:bCs/>
          <w:color w:val="555555"/>
          <w:sz w:val="20"/>
          <w:szCs w:val="20"/>
        </w:rPr>
        <w:t xml:space="preserve">"63"</w:t>
      </w:r>
      <w:r>
        <w:rPr>
          <w:color w:val="555555"/>
          <w:sz w:val="20"/>
          <w:szCs w:val="20"/>
        </w:rPr>
        <w:t xml:space="preserve"> pregões.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ações muito negociadas são mais fáceis de comprar e vender sem mexer no preço; o logaritmo evita que as gigantes dominem a nota.</w:t>
      </w:r>
    </w:p>
    <w:p>
      <w:pPr>
        <w:pStyle w:val="Heading2"/>
        <w:keepNext/>
        <w:pageBreakBefore/>
      </w:pPr>
      <w:r>
        <w:t xml:space="preserve">Alertas (penalidades)</w:t>
      </w:r>
    </w:p>
    <w:p>
      <w:pPr>
        <w:spacing w:after="120" w:line="300"/>
        <w:jc w:val="both"/>
      </w:pPr>
      <w:r>
        <w:t xml:space="preserve">Os alertas são lidos dos documentos da CVM e descontam pontos da nota final. Cada alerta vem escrito na coluna </w:t>
      </w:r>
      <w:r>
        <w:rPr>
          <w:b/>
          <w:bCs/>
        </w:rPr>
        <w:t xml:space="preserve">sinais</w:t>
      </w:r>
      <w:r>
        <w:t xml:space="preserve"> do ranking, para o assinante ver o motivo.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700"/>
        <w:gridCol w:w="2500"/>
      </w:tblGrid>
      <w:tr>
        <w:trPr>
          <w:cantSplit/>
          <w:tblHeader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Alerta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Desconto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Pedido de recuperação judicial ou extrajudicial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retira do ranking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(fato relevante)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Parecer do auditor com ressalva ou abstenção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− 15 pontos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DFP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Demonstração reapresentada nos últimos 12 meses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− 10 pontos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DFP/ITR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Atraso na entrega do ITR ou da DFP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− 10 pontos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(data de entrega)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Patrimônio líquido negativo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− 20 pontos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CVM DFP/ITR</w:t>
            </w:r>
          </w:p>
        </w:tc>
      </w:tr>
    </w:tbl>
    <w:p>
      <w:pPr>
        <w:pStyle w:val="Heading1"/>
        <w:keepNext/>
        <w:spacing w:before="400"/>
      </w:pPr>
      <w:r>
        <w:t xml:space="preserve">8. Confiabilidade</w:t>
      </w:r>
    </w:p>
    <w:p>
      <w:pPr>
        <w:spacing w:after="120" w:line="300"/>
        <w:jc w:val="both"/>
      </w:pPr>
      <w:r>
        <w:t xml:space="preserve">Nenhuma nota garante resultado. O que dá para fazer é </w:t>
      </w:r>
      <w:r>
        <w:rPr>
          <w:b/>
          <w:bCs/>
        </w:rPr>
        <w:t xml:space="preserve">medir, com dados do passado, se a nota funcionaria</w:t>
      </w:r>
      <w:r>
        <w:t xml:space="preserve">, e só publicar se ela passar nos critérios abaixo. O teste é feito antes da primeira publicação e refeito a cada nova versão.</w:t>
      </w:r>
    </w:p>
    <w:p>
      <w:pPr>
        <w:pStyle w:val="Heading2"/>
        <w:keepNext/>
        <w:keepLines/>
      </w:pPr>
      <w:r>
        <w:t xml:space="preserve">Como o teste é feito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Reconstrução mês a mês:</w:t>
      </w:r>
      <w:r>
        <w:t xml:space="preserve"> o Score é recalculado no último pregão de cada mês, de janeiro de 2016 até hoje, usando só o que era público em cada data.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Comparação com o futuro de cada data:</w:t>
      </w:r>
      <w:r>
        <w:t xml:space="preserve"> a nota de cada mês é comparada com o retorno de cada ação nos 3, 6 e 12 meses seguintes.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Período guardado:</w:t>
      </w:r>
      <w:r>
        <w:t xml:space="preserve"> os últimos 24 meses ficam fora do ajuste e servem só para conferir o resultado final.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Custos incluídos:</w:t>
      </w:r>
      <w:r>
        <w:t xml:space="preserve"> o teste desconta 0,30% por troca de ação na carteira do topo, para o resultado não ficar otimista demais.</w:t>
      </w:r>
    </w:p>
    <w:p>
      <w:pPr>
        <w:pStyle w:val="Heading2"/>
        <w:keepNext/>
        <w:keepLines/>
      </w:pPr>
      <w:r>
        <w:t xml:space="preserve">Medidas e critérios de aprovação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IC = correlação de postos (Sᵢ, Retᵢ,₆ₘ)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</w:t>
      </w:r>
      <w:r>
        <w:rPr>
          <w:b/>
          <w:bCs/>
          <w:color w:val="555555"/>
          <w:sz w:val="20"/>
          <w:szCs w:val="20"/>
        </w:rPr>
        <w:t xml:space="preserve">"IC"</w:t>
      </w:r>
      <w:r>
        <w:rPr>
          <w:color w:val="555555"/>
          <w:sz w:val="20"/>
          <w:szCs w:val="20"/>
        </w:rPr>
        <w:t xml:space="preserve"> é a correlação de Spearman entre os postos do Score </w:t>
      </w:r>
      <w:r>
        <w:rPr>
          <w:b/>
          <w:bCs/>
          <w:color w:val="555555"/>
          <w:sz w:val="20"/>
          <w:szCs w:val="20"/>
        </w:rPr>
        <w:t xml:space="preserve">"Sᵢ"</w:t>
      </w:r>
      <w:r>
        <w:rPr>
          <w:color w:val="555555"/>
          <w:sz w:val="20"/>
          <w:szCs w:val="20"/>
        </w:rPr>
        <w:t xml:space="preserve"> de cada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numa data e os postos do retorno </w:t>
      </w:r>
      <w:r>
        <w:rPr>
          <w:b/>
          <w:bCs/>
          <w:color w:val="555555"/>
          <w:sz w:val="20"/>
          <w:szCs w:val="20"/>
        </w:rPr>
        <w:t xml:space="preserve">"Retᵢ,₆ₘ"</w:t>
      </w:r>
      <w:r>
        <w:rPr>
          <w:color w:val="555555"/>
          <w:sz w:val="20"/>
          <w:szCs w:val="20"/>
        </w:rPr>
        <w:t xml:space="preserve"> da mesma ação nos </w:t>
      </w:r>
      <w:r>
        <w:rPr>
          <w:b/>
          <w:bCs/>
          <w:color w:val="555555"/>
          <w:sz w:val="20"/>
          <w:szCs w:val="20"/>
        </w:rPr>
        <w:t xml:space="preserve">"6"</w:t>
      </w:r>
      <w:r>
        <w:rPr>
          <w:color w:val="555555"/>
          <w:sz w:val="20"/>
          <w:szCs w:val="20"/>
        </w:rPr>
        <w:t xml:space="preserve"> meses seguintes; calcula-se um </w:t>
      </w:r>
      <w:r>
        <w:rPr>
          <w:b/>
          <w:bCs/>
          <w:color w:val="555555"/>
          <w:sz w:val="20"/>
          <w:szCs w:val="20"/>
        </w:rPr>
        <w:t xml:space="preserve">"IC"</w:t>
      </w:r>
      <w:r>
        <w:rPr>
          <w:color w:val="555555"/>
          <w:sz w:val="20"/>
          <w:szCs w:val="20"/>
        </w:rPr>
        <w:t xml:space="preserve"> por mês e depois a média.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mede se as ações com nota maior de fato andaram melhor depois; 0 é sorte pura, valores acima de 0,05 são considerados bons em estudos de fatores.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cantSplit/>
          <w:tblHeader/>
        </w:trPr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 para publicar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IC médio de 6 meses</w:t>
            </w:r>
          </w:p>
        </w:tc>
        <w:tc>
          <w:tcPr>
            <w:tcW w:type="dxa" w:w="4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que 0,04, com estatística t maior que 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Quintil do topo contra o Ibovespa</w:t>
            </w:r>
          </w:p>
        </w:tc>
        <w:tc>
          <w:tcPr>
            <w:tcW w:type="dxa" w:w="4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à frente em pelo menos 55% das janelas de 6 meses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Diferença entre o quintil do topo e o de baixo</w:t>
            </w:r>
          </w:p>
        </w:tc>
        <w:tc>
          <w:tcPr>
            <w:tcW w:type="dxa" w:w="4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positiva no período guardado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Troca mensal da carteira do topo</w:t>
            </w:r>
          </w:p>
        </w:tc>
        <w:tc>
          <w:tcPr>
            <w:tcW w:type="dxa" w:w="4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abaixo de 40%</w:t>
            </w:r>
          </w:p>
        </w:tc>
      </w:tr>
    </w:tbl>
    <w:p>
      <w:pPr>
        <w:spacing w:after="120" w:line="300"/>
        <w:jc w:val="both"/>
      </w:pPr>
      <w:r>
        <w:t xml:space="preserve">Se algum critério falhar, a tela segue com "Ranking em calibração" e a proposta volta com os resultados para revisão dos pesos (nova versão).</w:t>
      </w:r>
    </w:p>
    <w:p>
      <w:pPr>
        <w:pStyle w:val="Heading1"/>
        <w:keepNext/>
        <w:keepLines/>
        <w:pageBreakBefore/>
      </w:pPr>
      <w:r>
        <w:t xml:space="preserve">9. Dados e rotina</w:t>
      </w:r>
    </w:p>
    <w:p>
      <w:pPr>
        <w:pStyle w:val="Heading2"/>
        <w:keepNext/>
        <w:keepLines/>
      </w:pPr>
      <w:r>
        <w:t xml:space="preserve">Fontes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Preços:</w:t>
      </w:r>
      <w:r>
        <w:t xml:space="preserve"> B3 COTAHIST. O banco já tem o histórico recente; para o teste desde 2016 é preciso baixar os arquivos anuais da B3 (públicos).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Ibovespa:</w:t>
      </w:r>
      <w:r>
        <w:t xml:space="preserve"> B3 Índices, já coletado pelo robô de fechamento.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Demonstrações:</w:t>
      </w:r>
      <w:r>
        <w:t xml:space="preserve"> CVM, Portal de Dados Abertos (DFP e ITR, com a data de entrega de cada documento).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Alertas:</w:t>
      </w:r>
      <w:r>
        <w:t xml:space="preserve"> CVM, consulta de documentos e fatos relevantes, já coletados pelo robô da CVM.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Setor:</w:t>
      </w:r>
      <w:r>
        <w:t xml:space="preserve"> classificação setorial da B3.</w:t>
      </w:r>
    </w:p>
    <w:p>
      <w:pPr>
        <w:pStyle w:val="Heading2"/>
        <w:keepNext/>
        <w:keepLines/>
      </w:pPr>
      <w:r>
        <w:t xml:space="preserve">Universo de ações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Liquidez mínima:</w:t>
      </w:r>
      <w:r>
        <w:t xml:space="preserve"> volume financeiro médio de 63 pregões acima de R$ 1 milhão por dia.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Histórico mínimo:</w:t>
      </w:r>
      <w:r>
        <w:t xml:space="preserve"> pelo menos 252 pregões negociados.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Uma classe por empresa:</w:t>
      </w:r>
      <w:r>
        <w:t xml:space="preserve"> quando a empresa tem ON e PN, entra só a mais líquida, para a mesma empresa não ocupar duas posições.</w:t>
      </w:r>
    </w:p>
    <w:p>
      <w:pPr>
        <w:pStyle w:val="Heading2"/>
        <w:keepNext/>
        <w:keepLines/>
      </w:pPr>
      <w:r>
        <w:t xml:space="preserve">Rotina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Preços e Momentum:</w:t>
      </w:r>
      <w:r>
        <w:t xml:space="preserve"> todo dia útil, depois do robô da B3 (22h20).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Fundamentos e Aceleração:</w:t>
      </w:r>
      <w:r>
        <w:t xml:space="preserve"> quando a CVM recebe um novo ITR ou DFP.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Publicação:</w:t>
      </w:r>
      <w:r>
        <w:t xml:space="preserve"> ranking novo toda segunda-feira às 07h00, com a prévia para o administrador desde domingo.</w:t>
      </w:r>
    </w:p>
    <w:p>
      <w:pPr>
        <w:pStyle w:val="Heading2"/>
        <w:keepNext/>
        <w:keepLines/>
      </w:pPr>
      <w:r>
        <w:t xml:space="preserve">Mercado americano</w:t>
      </w:r>
    </w:p>
    <w:p>
      <w:pPr>
        <w:spacing w:after="120" w:line="300"/>
        <w:jc w:val="both"/>
      </w:pPr>
      <w:r>
        <w:t xml:space="preserve">A mesma estrutura vale para os EUA, com preços de uma fonte a definir e demonstrações da SEC (EDGAR, dados públicos). Essa parte entra numa segunda etapa, depois da versão brasileira aprovada.</w:t>
      </w:r>
    </w:p>
    <w:p>
      <w:pPr>
        <w:pStyle w:val="Heading1"/>
        <w:keepNext/>
        <w:keepLines/>
        <w:pageBreakBefore/>
      </w:pPr>
      <w:r>
        <w:t xml:space="preserve">10. Decisões para aprovar</w:t>
      </w:r>
    </w:p>
    <w:p>
      <w:pPr>
        <w:spacing w:after="120" w:line="300"/>
        <w:jc w:val="both"/>
      </w:pPr>
      <w:r>
        <w:t xml:space="preserve">Para começar a programar o robô do Score, preciso da sua aprovação nestes pontos: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Pesos dos pilares:</w:t>
      </w:r>
      <w:r>
        <w:t xml:space="preserve"> 30% Momentum, 30% Fundamentos, 20% Aceleração e 20% Confluência e risco.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Pilar Aceleração:</w:t>
      </w:r>
      <w:r>
        <w:t xml:space="preserve"> entrar como quarto pilar na tela, ao lado dos outros três.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Horizonte do teste:</w:t>
      </w:r>
      <w:r>
        <w:t xml:space="preserve"> 6 meses como horizonte principal (3 e 12 meses como conferência).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Universo:</w:t>
      </w:r>
      <w:r>
        <w:t xml:space="preserve"> liquidez mínima de R$ 1 milhão por dia e uma classe de ação por empresa.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Publicação:</w:t>
      </w:r>
      <w:r>
        <w:t xml:space="preserve"> semanal, às segundas-feiras, só depois de o teste histórico passar nos critérios do capítulo 8.</w:t>
      </w:r>
    </w:p>
    <w:p>
      <w:pPr>
        <w:spacing w:after="120" w:line="300"/>
        <w:jc w:val="both"/>
      </w:pPr>
      <w:r>
        <w:t xml:space="preserve">Com a aprovação, a ordem do trabalho é: baixar o histórico de preços e das demonstrações da CVM, programar o cálculo, rodar o teste histórico e trazer o relatório de resultados antes de qualquer publicação.</w:t>
      </w:r>
    </w:p>
    <w:sectPr>
      <w:headerReference w:type="default" r:id="rId7"/>
      <w:footerReference w:type="default" r:id="rId8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 ·  Uso interno. Não é recomendação de investimento.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tabs>
        <w:tab w:val="right" w:pos="9000"/>
      </w:tabs>
    </w:pPr>
    <w:r>
      <w:drawing>
        <wp:inline distT="0" distB="0" distL="0" distR="0">
          <wp:extent cx="2476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 xml:space="preserve">   SOLIDUNS · Score Exponencial</w:t>
    </w:r>
    <w:r>
      <w:rPr>
        <w:color w:val="555555"/>
        <w:sz w:val="17"/>
        <w:szCs w:val="17"/>
      </w:rPr>
      <w:t xml:space="preserve">	Proposta v0.1 — para aprovação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478a59443487a6c92c812d165c5cf42c8fd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2478a59443487a6c92c812d165c5cf42c8fd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Exponencial — proposta de metodologia v0.1</dc:title>
  <dc:creator>SOLIDUNS</dc:creator>
  <cp:lastModifiedBy>Un-named</cp:lastModifiedBy>
  <cp:revision>1</cp:revision>
  <dcterms:created xsi:type="dcterms:W3CDTF">2026-10-16T19:09:00.854Z</dcterms:created>
  <dcterms:modified xsi:type="dcterms:W3CDTF">2026-10-16T19:09:00.854Z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