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Metodologia e registro prévio do teste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1.0.5 — aprovada em 22/10/2026 · revisão editorial de 23/10/2026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Decisões aprovadas</w:t>
      </w:r>
    </w:p>
    <w:p>
      <w:pPr>
        <w:spacing w:after="120" w:line="300"/>
        <w:jc w:val="both"/>
      </w:pPr>
      <w:r>
        <w:t xml:space="preserve">Esta versão fecha a metodologia. As decisões abaixo foram aprovadas pelo Dr. Thiago Viegas em 22/10/2026: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iguais:</w:t>
      </w:r>
      <w:r>
        <w:t xml:space="preserve"> os quatro pilares começam com 25% cada.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3 redesenhado:</w:t>
      </w:r>
      <w:r>
        <w:t xml:space="preserve"> sai "crescimento e aceleração da receita", entra </w:t>
      </w:r>
      <w:r>
        <w:rPr>
          <w:b/>
          <w:bCs/>
        </w:rPr>
        <w:t xml:space="preserve">momento fundamental</w:t>
      </w:r>
      <w:r>
        <w:t xml:space="preserve"> (surpresa de lucro e escore de crescimento saudável).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Proteção do momentum:</w:t>
      </w:r>
      <w:r>
        <w:t xml:space="preserve"> o peso do pilar Momentum cai quando a volatilidade do próprio fator sobe.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Molodovsky no cálculo:</w:t>
      </w:r>
      <w:r>
        <w:t xml:space="preserve"> o artigo de Molodovsky, May e Chottiner (1965) vira o subitem </w:t>
      </w:r>
      <w:r>
        <w:rPr>
          <w:b/>
          <w:bCs/>
        </w:rPr>
        <w:t xml:space="preserve">crescimento implícito no preço</w:t>
      </w:r>
      <w:r>
        <w:t xml:space="preserve">, dentro do Pilar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do teste:</w:t>
      </w:r>
      <w:r>
        <w:t xml:space="preserve"> cotações da B3 desde 2006 e fatores de risco do NEFIN-USP, ambos públicos e gratuitos.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Critérios para publicar:</w:t>
      </w:r>
      <w:r>
        <w:t xml:space="preserve"> aprovados como propostos na versão 0.2 (capítulo 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Risco de crédito e de manipulação viram subitens (v1.0.1):</w:t>
      </w:r>
      <w:r>
        <w:t xml:space="preserve"> o EM Score de Altman (2005) e o escore M de Beneish (1999) entram no Pilar 4, sem desconto em pontos.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Faixa de manutenção na carteira do Radar (v1.0.2):</w:t>
      </w:r>
      <w:r>
        <w:t xml:space="preserve"> a ação entra ao chegar aos 20% melhores do Score e só sai ao cair abaixo dos 40% melhores.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Saltos de preço sem evento (v1.0.3):</w:t>
      </w:r>
      <w:r>
        <w:t xml:space="preserve"> salto de 3 vezes ou mais num pregão, sem evento informado, vira evento não informado se o novo patamar se mantém; se não se mantém, o pregão é descartado como erro de dado.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Especificação operacional (v1.0.4):</w:t>
      </w:r>
      <w:r>
        <w:t xml:space="preserve"> a fórmula exata dos 22 subitens, com as contas da CVM usadas, faz parte deste registro (documento "Especificação operacional dos 22 subitens", versão 1.0.4). No crescimento implícito, a distribuição de lucros das fases 1 e 2 passa a ser a observada na empresa (capítulo 4).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Protocolo do teste (v1.0.5):</w:t>
      </w:r>
      <w:r>
        <w:t xml:space="preserve"> períodos, custos por faixa de liquidez, carteiras, Ibovespa pelo BOVA11, base do Sharpe deflacionado e família de 21 carteiras ficam fixados no documento "Protocolo do teste histórico", versão 1.0.5, antes da rodada única.</w:t>
      </w:r>
    </w:p>
    <w:p>
      <w:pPr>
        <w:pStyle w:val="Heading2"/>
        <w:keepNext/>
        <w:keepLines/>
      </w:pPr>
      <w:r>
        <w:t xml:space="preserve">Histórico de versões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v1.0, de 22/10/2026:</w:t>
      </w:r>
      <w:r>
        <w:t xml:space="preserve"> registro prévio da metodologia.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v1.0.1, de 22/10/2026:</w:t>
      </w:r>
      <w:r>
        <w:t xml:space="preserve"> o escore Z de Altman (1968), feito só para indústrias, é trocado pelo EM Score de Altman (2005), que vale para todas as empresas não financeiras. Os alertas deixam de tirar pontos e viram subitens do Pilar 4.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v1.0.2, de 22/10/2026:</w:t>
      </w:r>
      <w:r>
        <w:t xml:space="preserve"> a carteira do Radar passa a ter faixa de manutenção, para reduzir o giro e os custos (Novy-Marx; Velikov, 2016). A nota de cada ação não muda.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v1.0.3, de 22/10/2026:</w:t>
      </w:r>
      <w:r>
        <w:t xml:space="preserve"> regra de tratamento dos saltos de preço sem evento informado (camada 1). Ela evita que grupamentos antigos, que a B3 não registra, criem falsas altas.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v1.0.4, de 22/10/2026:</w:t>
      </w:r>
      <w:r>
        <w:t xml:space="preserve"> especificação operacional dos 22 subitens. No crescimento implícito, o dividendo das fases 1 e 2 passa a usar a distribuição observada da empresa: com </w:t>
      </w:r>
      <m:oMath>
        <m:r>
          <m:t>D</m:t>
        </m:r>
        <m:r>
          <m:rPr>
            <m:sty m:val="p"/>
          </m:rPr>
          <m:t>=</m:t>
        </m:r>
        <m:r>
          <m:t>E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/</m:t>
            </m:r>
            <m:r>
              <m:t>R</m:t>
            </m:r>
          </m:e>
        </m:d>
      </m:oMath>
      <w:r>
        <w:t xml:space="preserve">, o crescimento implícito ia ao teto de 60% em 55% dos casos, porque a rentabilidade ficava abaixo da taxa exigida. Também ficam fixados a concordância entre pilares, o escore de Mohanram com 6 testes, a origem da quantidade de ações e os dados mínimos. As mudanças foram feitas antes de qualquer teste de desempenho e não contam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v1.0.5, de 22/10/2026:</w:t>
      </w:r>
      <w:r>
        <w:t xml:space="preserve"> protocolo do teste histórico e a regra do setor pequeno (menos de 5 ações com dado: nota contra todas as ações do mês). A máquina do teste foi conferida só com placebos, sem usar o Score. Aprovado antes da rodada única.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Revisão editorial de 23/10/2026:</w:t>
      </w:r>
      <w:r>
        <w:t xml:space="preserve"> as fórmulas passam a ser escritas em notação matemática (LaTeX), como equações do Word. O conteúdo não muda e não conta como tentativa.</w:t>
      </w:r>
    </w:p>
    <w:p>
      <w:pPr>
        <w:pStyle w:val="Heading2"/>
        <w:keepNext/>
        <w:keepLines/>
      </w:pPr>
      <w:r>
        <w:t xml:space="preserve">O que é o registro prévio</w:t>
      </w:r>
    </w:p>
    <w:p>
      <w:pPr>
        <w:spacing w:after="120" w:line="300"/>
        <w:jc w:val="both"/>
      </w:pPr>
      <w:r>
        <w:t xml:space="preserve">Tudo neste documento fica </w:t>
      </w:r>
      <w:r>
        <w:rPr>
          <w:b/>
          <w:bCs/>
        </w:rPr>
        <w:t xml:space="preserve">congelado antes do primeiro teste</w:t>
      </w:r>
      <w:r>
        <w:t xml:space="preserve">: pilares, subitens, parâmetros, pesos e critérios.</w:t>
      </w:r>
    </w:p>
    <w:p>
      <w:pPr>
        <w:spacing w:after="120" w:line="300"/>
        <w:jc w:val="both"/>
      </w:pPr>
      <w:r>
        <w:t xml:space="preserve">Assim, o teste não pode ser ajustado ao resultado. Qualquer mudança depois do teste gera uma nova versão, e a variação conta como mais uma tentativa no controle de excesso de testes (capítulo 6).</w:t>
      </w:r>
    </w:p>
    <w:p>
      <w:pPr>
        <w:pStyle w:val="Heading2"/>
        <w:keepNext/>
        <w:keepLines/>
      </w:pPr>
      <w:r>
        <w:t xml:space="preserve">O que a literatura ensina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negativa, e a combinação é mais estável que cada um isolado (Asness; Moskowitz; Pedersen, 2013).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a evidência de momentum é fraca e a de qualidade é boa:</w:t>
      </w:r>
      <w:r>
        <w:t xml:space="preserve"> em 2009-2018, as 32 carteiras de vencedoras superaram as de perdedoras, mas a diferença foi significativa só em 12 delas, a 10% (Civiletti; Campani; Roquete, 2020); em 1990-2013, o momentum não foi significativo (Cakici; Tang; Yan, 2016). Já a qualidade é persistente e rende mais ajustada ao risco (Bortoluzzo; Pistili; Bortoluzzo, 2021).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poucas empresas criam toda a riqueza:</w:t>
      </w:r>
      <w:r>
        <w:t xml:space="preserve"> de 1993 a 2020, 20 das 390 empresas (5%) criaram 98% da riqueza líquida; e só 34,7% das ações superaram o próprio mercado (Bessembinder et al., 2023).</w:t>
      </w:r>
    </w:p>
    <w:p>
      <w:pPr>
        <w:pStyle w:val="Heading1"/>
        <w:keepNext/>
        <w:keepLines/>
        <w:pageBreakBefore/>
      </w:pPr>
      <w:r>
        <w:t xml:space="preserve">2. Arquitetura</w:t>
      </w:r>
    </w:p>
    <w:p>
      <w:pPr>
        <w:spacing w:after="120" w:line="300"/>
        <w:jc w:val="both"/>
      </w:pPr>
      <w:r>
        <w:t xml:space="preserve">A metodologia tem sete camadas. Cada uma recebe o resultado da anterior e pode ser testada sozinha.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subitens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Ranking,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Registro de cada versão e de cada teste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inclui as empresas que deixaram a bolsa. Sem elas, o teste fica otimista.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capital, desdobramentos e grupamentos. Os eventos vêm da B3 e são conferidos pelo salto real de preço.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Saltos sem evento:</w:t>
      </w:r>
      <w:r>
        <w:t xml:space="preserve"> um salto de 3 vezes ou mais num pregão (ou queda a menos de 1/3), sem evento informado pela B3 nem razão exata de desdobramento, é tratado assim:</w:t>
      </w:r>
    </w:p>
    <w:p>
      <w:pPr>
        <w:pStyle w:val="ListParagraph"/>
        <w:numPr>
          <w:ilvl w:val="1"/>
          <w:numId w:val="3"/>
        </w:numPr>
        <w:spacing w:after="60" w:line="280"/>
        <w:jc w:val="both"/>
      </w:pPr>
      <w:r>
        <w:rPr>
          <w:b/>
          <w:bCs/>
        </w:rPr>
        <w:t xml:space="preserve">Patamar mantido:</w:t>
      </w:r>
      <w:r>
        <w:t xml:space="preserve"> se o preço fica no novo nível nos pregões seguintes, o salto é tratado como evento não informado, com retorno zero naquele dia.</w:t>
      </w:r>
    </w:p>
    <w:p>
      <w:pPr>
        <w:pStyle w:val="ListParagraph"/>
        <w:numPr>
          <w:ilvl w:val="1"/>
          <w:numId w:val="3"/>
        </w:numPr>
        <w:spacing w:after="60" w:line="280"/>
        <w:jc w:val="both"/>
      </w:pPr>
      <w:r>
        <w:rPr>
          <w:b/>
          <w:bCs/>
        </w:rPr>
        <w:t xml:space="preserve">Pico de um dia:</w:t>
      </w:r>
      <w:r>
        <w:t xml:space="preserve"> se o preço volta ao nível anterior, o pregão é descartado como erro de dado.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Por quê:</w:t>
      </w:r>
      <w:r>
        <w:t xml:space="preserve"> grupamentos antigos, dos anos 1990 e 2000, nem sempre estão registrados na B3. Sem a regra, eles criariam falsas altas exponenciais. A regra é conservadora: pode apagar uma alta real de 3 vezes num único dia, que é raríssima.</w:t>
      </w:r>
    </w:p>
    <w:p>
      <w:pPr>
        <w:pStyle w:val="Heading2"/>
        <w:keepNext/>
        <w:keepLines/>
        <w:pageBreakBefore/>
      </w:pPr>
      <w:r>
        <w:t xml:space="preserve">Camada 2 — Universo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de pelo menos R$ 1 milhão por dia, e índice de iliquidez de Amihud (2002) fora do décimo pior.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2, porque o balanço deles não tem EBITDA nem dívida líquida no mesmo sentido.</w:t>
      </w:r>
    </w:p>
    <w:p>
      <w:pPr>
        <w:pStyle w:val="Heading2"/>
        <w:keepNext/>
        <w:keepLines/>
      </w:pPr>
      <w:r>
        <w:t xml:space="preserve">Camada 4 — Tratamento</w:t>
      </w:r>
    </w:p>
    <w:p>
      <w:pPr>
        <w:spacing w:after="120" w:line="300"/>
        <w:jc w:val="both"/>
      </w:pPr>
      <w:r>
        <w:t xml:space="preserve">Cada subitem vira uma nota padronizada robusta, calculada dentro do setor. Ela preserva a distância entre as ações e não se deixa levar por valores extremos.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24"/>
                  <w:szCs w:val="24"/>
                </w:rPr>
                <m:t>z</m:t>
              </m:r>
            </m:e>
            <m:sub>
              <m:r>
                <w:rPr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mediana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4"/>
                      <w:szCs w:val="24"/>
                    </w:rPr>
                    <m:t>x</m:t>
                  </m:r>
                </m:e>
              </m:d>
            </m:num>
            <m:den>
              <m:r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4826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⋅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MAD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4"/>
                      <w:szCs w:val="24"/>
                    </w:rPr>
                    <m:t>x</m:t>
                  </m:r>
                </m:e>
              </m:d>
            </m:den>
          </m:f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z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i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i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x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i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menos a mediana de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x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entre as ações do setor. O resultado é dividido por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4826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m:rPr>
            <m:sty m:val="p"/>
          </m:rPr>
          <w:rPr>
            <w:b/>
            <w:bCs/>
            <w:color w:val="555555"/>
            <w:sz w:val="20"/>
            <w:szCs w:val="20"/>
          </w:rPr>
          <m:t>MAD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x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A nota fica limitada entre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m:rPr>
            <m:sty m:val="p"/>
          </m:rPr>
          <w:rPr>
            <w:b/>
            <w:bCs/>
            <w:color w:val="555555"/>
            <w:sz w:val="20"/>
            <w:szCs w:val="20"/>
          </w:rPr>
          <m:t>−</m:t>
        </m:r>
        <m:r>
          <w:rPr>
            <w:b/>
            <w:bCs/>
            <w:color w:val="555555"/>
            <w:sz w:val="20"/>
            <w:szCs w:val="20"/>
          </w:rPr>
          <m:t>3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3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setor.</w:t>
      </w:r>
    </w:p>
    <w:p>
      <w:pPr>
        <w:spacing w:after="120" w:line="300"/>
        <w:jc w:val="both"/>
      </w:pPr>
      <w:r>
        <w:t xml:space="preserve">A nota de cada pilar é a média das notas dos seus subitens, padronizada de novo pela mesma fórmula. Subitem sem dado entra com nota zero, que é a nota da ação típica.</w:t>
      </w:r>
    </w:p>
    <w:p>
      <w:pPr>
        <w:pStyle w:val="Heading1"/>
        <w:keepNext/>
        <w:keepLines/>
        <w:spacing w:before="360"/>
      </w:pPr>
      <w:r>
        <w:t xml:space="preserve">3. Os quatro pilares</w:t>
      </w:r>
    </w:p>
    <w:p>
      <w:pPr>
        <w:spacing w:after="120" w:line="300"/>
        <w:jc w:val="both"/>
      </w:pPr>
      <w:r>
        <w:t xml:space="preserve">Cada subitem tem pelo menos uma referência publicada. As letras entre parênteses são as usadas nas fórmulas.</w:t>
      </w:r>
    </w:p>
    <w:p>
      <w:pPr>
        <w:pStyle w:val="Heading2"/>
        <w:keepNext/>
        <w:keepLines/>
      </w:pPr>
      <w:r>
        <w:t xml:space="preserve">Pilar 1 — Momentum de preço (M)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volume indica a fase do ciclo do momentum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 (F)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Crescimento implícito no preço (novo)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Todo preço embute um crescimento futuro; quem exige menos crescimento do que consegue gerar está mais barato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Molodovsky; May; Chottiner (1965); Gordon (1962)</w:t>
            </w:r>
          </w:p>
        </w:tc>
      </w:tr>
    </w:tbl>
    <w:p>
      <w:pPr>
        <w:spacing w:after="120" w:line="300"/>
        <w:jc w:val="both"/>
      </w:pPr>
      <w:r>
        <w:t xml:space="preserve">O subitem novo tem capítulo próprio (capítulo 4).</w:t>
      </w:r>
    </w:p>
    <w:p>
      <w:pPr>
        <w:pStyle w:val="Heading2"/>
        <w:keepNext/>
        <w:keepLines/>
      </w:pPr>
      <w:r>
        <w:t xml:space="preserve">Pilar 3 — Momento fundamental (A)</w:t>
      </w:r>
    </w:p>
    <w:p>
      <w:pPr>
        <w:spacing w:after="120" w:line="300"/>
        <w:jc w:val="both"/>
      </w:pPr>
      <w:r>
        <w:t xml:space="preserve">O crescimento passado se repete pouco (Chan; Karceski; Lakonishok, 2003). Por isso o pilar mede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E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L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L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w:rPr>
                      <w:sz w:val="24"/>
                      <w:szCs w:val="24"/>
                    </w:rPr>
                    <m:t>4</m:t>
                  </m:r>
                </m:sub>
              </m:sSub>
            </m:num>
            <m:den>
              <m:r>
                <m:rPr>
                  <m:sty m:val="p"/>
                </m:rPr>
                <w:rPr>
                  <w:sz w:val="24"/>
                  <w:szCs w:val="24"/>
                </w:rPr>
                <m:t>dp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sz w:val="24"/>
                              <w:szCs w:val="24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r>
                            <w:rPr>
                              <w:sz w:val="24"/>
                              <w:szCs w:val="24"/>
                            </w:rPr>
                            <m:t>4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sz w:val="24"/>
                      <w:szCs w:val="24"/>
                    </w:rPr>
                    <m:t>8</m:t>
                  </m:r>
                  <m:r>
                    <w:rPr>
                      <w:sz w:val="24"/>
                      <w:szCs w:val="24"/>
                    </w:rPr>
                    <m:t> </m:t>
                  </m:r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trimestres</m:t>
                  </m:r>
                </m:sub>
              </m:sSub>
            </m:den>
          </m:f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S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U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E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o lucro por ação do trimestre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L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P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A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menos o do mesmo trimestre do ano anterior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L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P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A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−</m:t>
            </m:r>
            <m:r>
              <w:rPr>
                <w:b/>
                <w:bCs/>
                <w:color w:val="555555"/>
                <w:sz w:val="20"/>
                <w:szCs w:val="20"/>
              </w:rPr>
              <m:t>4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A diferença é dividida pelo desvio-padrão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m:rPr>
            <m:sty m:val="p"/>
          </m:rPr>
          <w:rPr>
            <w:b/>
            <w:bCs/>
            <w:color w:val="555555"/>
            <w:sz w:val="20"/>
            <w:szCs w:val="20"/>
          </w:rPr>
          <m:t>dp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dessa mesma diferença nos últimos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8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 (C)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Risco de insolvência (EM Score)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com alto risco de falência rendem anormalmente menos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Altman (1968, 2005); Campbell; Hilscher; Szilagyi (2008)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Indício de manipulação (escore M)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Empresas com sinais de lucro inflado tendem a decepcionar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Beneish (1999); Sloan (1996)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Crescimento implícito</w:t>
      </w:r>
    </w:p>
    <w:p>
      <w:pPr>
        <w:keepNext/>
        <w:spacing w:after="160"/>
      </w:pPr>
      <w:r>
        <w:rPr>
          <w:b/>
          <w:bCs/>
          <w:color w:val="C9A227"/>
          <w:sz w:val="24"/>
          <w:szCs w:val="24"/>
        </w:rPr>
        <w:t xml:space="preserve">Crescimento implícito no preço — o subitem de Molodovsky</w:t>
      </w:r>
    </w:p>
    <w:p>
      <w:pPr>
        <w:spacing w:after="120" w:line="300"/>
        <w:jc w:val="both"/>
      </w:pPr>
      <w:r>
        <w:t xml:space="preserve">Molodovsky, May e Chottiner (1965) mostram que o valor de uma ação é o valor presente de todos os dividendos futuros. Os autores também usam o caminho inverso: partem do preço de hoje e descobrem </w:t>
      </w:r>
      <w:r>
        <w:rPr>
          <w:b/>
          <w:bCs/>
        </w:rPr>
        <w:t xml:space="preserve">quanto crescimento esse preço já exige</w:t>
      </w:r>
      <w:r>
        <w:t xml:space="preserve">.</w:t>
      </w:r>
    </w:p>
    <w:p>
      <w:pPr>
        <w:spacing w:after="120" w:line="300"/>
        <w:jc w:val="both"/>
      </w:pPr>
      <w:r>
        <w:t xml:space="preserve">O Score usa esse caminho inverso. A pergunta do subitem é simples: a empresa consegue entregar o crescimento que o preço já cobra?</w:t>
      </w:r>
    </w:p>
    <w:p>
      <w:pPr>
        <w:pStyle w:val="Heading2"/>
        <w:keepNext/>
        <w:keepLines/>
      </w:pPr>
      <w:r>
        <w:t xml:space="preserve">O caminho do lucro em três fases</w:t>
      </w:r>
    </w:p>
    <w:p>
      <w:pPr>
        <w:spacing w:after="120" w:line="300"/>
        <w:jc w:val="both"/>
      </w:pPr>
      <w:r>
        <w:t xml:space="preserve">O artigo projeta o lucro em três fases: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1, crescimento constante:</w:t>
      </w:r>
      <w:r>
        <w:t xml:space="preserve"> o lucro cresce à taxa </w:t>
      </w:r>
      <w:r>
        <w:rPr>
          <w:b/>
          <w:bCs/>
        </w:rPr>
        <w:t xml:space="preserve">"</w:t>
      </w:r>
      <m:oMath>
        <m:r>
          <w:rPr>
            <w:b/>
            <w:bCs/>
          </w:rPr>
          <m:t>g</m:t>
        </m:r>
      </m:oMath>
      <w:r>
        <w:rPr>
          <w:b/>
          <w:bCs/>
        </w:rPr>
        <w:t xml:space="preserve">"</w:t>
      </w:r>
      <w:r>
        <w:t xml:space="preserve"> por 10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2, transição:</w:t>
      </w:r>
      <w:r>
        <w:t xml:space="preserve"> a taxa cai em linha reta por 20 anos, como na simplificação usada pelos autores.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3, maturidade:</w:t>
      </w:r>
      <w:r>
        <w:t xml:space="preserve"> o lucro passa a acompanhar a inflação esperada </w:t>
      </w:r>
      <w:r>
        <w:rPr>
          <w:b/>
          <w:bCs/>
        </w:rPr>
        <w:t xml:space="preserve">"</w:t>
      </w:r>
      <m:oMath>
        <m:r>
          <w:rPr>
            <w:b/>
            <w:bCs/>
          </w:rPr>
          <m:t>π</m:t>
        </m:r>
      </m:oMath>
      <w:r>
        <w:rPr>
          <w:b/>
          <w:bCs/>
        </w:rPr>
        <w:t xml:space="preserve">"</w:t>
      </w:r>
      <w:r>
        <w:t xml:space="preserve">.</w:t>
      </w:r>
    </w:p>
    <w:p>
      <w:pPr>
        <w:spacing w:after="120" w:line="300"/>
        <w:jc w:val="both"/>
      </w:pPr>
      <w:r>
        <w:t xml:space="preserve">A fase 3 é a única adaptação ao Brasil. No artigo, o lucro fica parado para sempre. Com a inflação brasileira, lucro parado em reais significa lucro encolhendo em poder de compra.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24"/>
                  <w:szCs w:val="24"/>
                </w:rPr>
                <m:t>g</m:t>
              </m:r>
            </m:e>
            <m:sub>
              <m:r>
                <w:rPr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sz w:val="24"/>
                        <w:szCs w:val="24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≤</m:t>
                    </m:r>
                    <m:r>
                      <w:rPr>
                        <w:sz w:val="24"/>
                        <w:szCs w:val="24"/>
                      </w:rPr>
                      <m:t>10</m:t>
                    </m:r>
                  </m:e>
                </m:mr>
                <m:mr>
                  <m:e>
                    <m:r>
                      <w:rPr>
                        <w:sz w:val="24"/>
                        <w:szCs w:val="24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sz w:val="24"/>
                            <w:szCs w:val="24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r>
                          <w:rPr>
                            <w:sz w:val="24"/>
                            <w:szCs w:val="24"/>
                          </w:rPr>
                          <m:t>π</m:t>
                        </m:r>
                      </m:e>
                    </m:d>
                    <m:r>
                      <w:rPr>
                        <w:sz w:val="24"/>
                        <w:szCs w:val="24"/>
                      </w:rP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sz w:val="24"/>
                            <w:szCs w:val="24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r>
                          <w:rPr>
                            <w:sz w:val="24"/>
                            <w:szCs w:val="24"/>
                          </w:rPr>
                          <m:t>10</m:t>
                        </m:r>
                      </m:num>
                      <m:den>
                        <m:r>
                          <w:rPr>
                            <w:sz w:val="24"/>
                            <w:szCs w:val="24"/>
                          </w:rPr>
                          <m:t>20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sz w:val="24"/>
                        <w:szCs w:val="24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&lt;</m:t>
                    </m:r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≤</m:t>
                    </m:r>
                    <m:r>
                      <w:rPr>
                        <w:sz w:val="24"/>
                        <w:szCs w:val="24"/>
                      </w:rPr>
                      <m:t>30</m:t>
                    </m:r>
                  </m:e>
                </m:mr>
                <m:mr>
                  <m:e>
                    <m:r>
                      <w:rPr>
                        <w:sz w:val="24"/>
                        <w:szCs w:val="24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sz w:val="24"/>
                        <w:szCs w:val="24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&gt;</m:t>
                    </m:r>
                    <m:r>
                      <w:rPr>
                        <w:sz w:val="24"/>
                        <w:szCs w:val="24"/>
                      </w:rPr>
                      <m:t>30</m:t>
                    </m:r>
                  </m:e>
                </m:mr>
              </m:m>
            </m:e>
          </m:d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taxa de crescimento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g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s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no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s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g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até 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Entre os anos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30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ela cai em linha reta de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g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até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π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Depois do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30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é igual à inflação esperada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π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lucro cresce rápido por 10 anos, desacelera aos poucos por 20 anos e depois só acompanha a inflação.</w:t>
      </w:r>
    </w:p>
    <w:p>
      <w:pPr>
        <w:pStyle w:val="Heading2"/>
        <w:keepNext/>
        <w:keepLines/>
        <w:pageBreakBefore/>
      </w:pPr>
      <w:r>
        <w:t xml:space="preserve">Do lucro ao dividendo</w:t>
      </w:r>
    </w:p>
    <w:p>
      <w:pPr>
        <w:spacing w:after="120" w:line="300"/>
        <w:jc w:val="both"/>
      </w:pPr>
      <w:r>
        <w:t xml:space="preserve">O artigo liga o dividendo ao crescimento: quem cresce muito reinveste muito e paga pouco: </w:t>
      </w:r>
      <m:oMath>
        <m:r>
          <m:t>D</m:t>
        </m:r>
        <m:r>
          <m:rPr>
            <m:sty m:val="p"/>
          </m:rPr>
          <m:t>=</m:t>
        </m:r>
        <m:r>
          <m:t>E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/</m:t>
            </m:r>
            <m:r>
              <m:t>R</m:t>
            </m:r>
          </m:e>
        </m:d>
      </m:oMath>
      <w:r>
        <w:t xml:space="preserve">.</w:t>
      </w:r>
    </w:p>
    <w:p>
      <w:pPr>
        <w:spacing w:after="120" w:line="300"/>
        <w:jc w:val="both"/>
      </w:pPr>
      <w:r>
        <w:t xml:space="preserve">No Brasil, essa ligação falha quando a rentabilidade </w:t>
      </w:r>
      <w:r>
        <w:rPr>
          <w:b/>
          <w:bCs/>
        </w:rPr>
        <w:t xml:space="preserve">"</w:t>
      </w:r>
      <m:oMath>
        <m:r>
          <w:rPr>
            <w:b/>
            <w:bCs/>
          </w:rPr>
          <m:t>R</m:t>
        </m:r>
      </m:oMath>
      <w:r>
        <w:rPr>
          <w:b/>
          <w:bCs/>
        </w:rPr>
        <w:t xml:space="preserve">"</w:t>
      </w:r>
      <w:r>
        <w:t xml:space="preserve"> fica abaixo da taxa exigida </w:t>
      </w:r>
      <w:r>
        <w:rPr>
          <w:b/>
          <w:bCs/>
        </w:rPr>
        <w:t xml:space="preserve">"</w:t>
      </w:r>
      <m:oMath>
        <m:r>
          <w:rPr>
            <w:b/>
            <w:bCs/>
          </w:rPr>
          <m:t>k</m:t>
        </m:r>
      </m:oMath>
      <w:r>
        <w:rPr>
          <w:b/>
          <w:bCs/>
        </w:rPr>
        <w:t xml:space="preserve">"</w:t>
      </w:r>
      <w:r>
        <w:t xml:space="preserve">. Aí crescer destrói valor. Nenhum crescimento justifica o preço, e o crescimento implícito vai para o teto. Isso aconteceu em 55% dos casos.</w:t>
      </w:r>
    </w:p>
    <w:p>
      <w:pPr>
        <w:spacing w:after="120" w:line="300"/>
        <w:jc w:val="both"/>
      </w:pPr>
      <w:r>
        <w:t xml:space="preserve">Por isso, na v1.0.4, as fases 1 e 2 usam a distribuição observada da própria empresa. A ligação do artigo fica na fase 3, a de maturidade.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24"/>
                  <w:szCs w:val="24"/>
                </w:rPr>
                <m:t>D</m:t>
              </m:r>
            </m:e>
            <m:sub>
              <m:r>
                <w:rPr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p</m:t>
          </m:r>
          <m:r>
            <m:rPr>
              <m:sty m:val="p"/>
            </m:rPr>
            <w:rPr>
              <w:sz w:val="24"/>
              <w:szCs w:val="24"/>
            </w:rPr>
            <m:t>⋅</m:t>
          </m:r>
          <m:sSub>
            <m:e>
              <m:r>
                <w:rPr>
                  <w:sz w:val="24"/>
                  <w:szCs w:val="24"/>
                </w:rPr>
                <m:t>E</m:t>
              </m:r>
            </m:e>
            <m:sub>
              <m:r>
                <w:rPr>
                  <w:sz w:val="24"/>
                  <w:szCs w:val="24"/>
                </w:rPr>
                <m:t>s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  </m:t>
          </m:r>
          <m:r>
            <w:rPr>
              <w:sz w:val="24"/>
              <w:szCs w:val="24"/>
            </w:rPr>
            <m:t>s</m:t>
          </m:r>
          <m:r>
            <m:rPr>
              <m:sty m:val="p"/>
            </m:rPr>
            <w:rPr>
              <w:sz w:val="24"/>
              <w:szCs w:val="24"/>
            </w:rPr>
            <m:t>≤</m:t>
          </m:r>
          <m:r>
            <w:rPr>
              <w:sz w:val="24"/>
              <w:szCs w:val="24"/>
            </w:rPr>
            <m:t>30</m:t>
          </m:r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D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s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s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até 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30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é igual ao índice de distribuição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p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vezes o lucro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E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s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nos primeiros 30 anos, a empresa mantém a parte do lucro que já distribui hoje.</w:t>
      </w:r>
    </w:p>
    <w:p>
      <w:pPr>
        <w:pStyle w:val="Heading2"/>
        <w:keepNext/>
        <w:keepLines/>
      </w:pPr>
      <w:r>
        <w:t xml:space="preserve">Valor e crescimento implícito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r>
            <w:rPr>
              <w:sz w:val="24"/>
              <w:szCs w:val="24"/>
            </w:rP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4"/>
                  <w:szCs w:val="24"/>
                </w:rPr>
                <m:t>g</m:t>
              </m: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w:rPr>
                  <w:sz w:val="24"/>
                  <w:szCs w:val="24"/>
                </w:rPr>
                <m:t>1</m:t>
              </m:r>
            </m:sub>
            <m:sup>
              <m:r>
                <w:rPr>
                  <w:sz w:val="24"/>
                  <w:szCs w:val="24"/>
                </w:rPr>
                <m:t>30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sz w:val="24"/>
                              <w:szCs w:val="24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sz w:val="24"/>
                              <w:szCs w:val="24"/>
                            </w:rPr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sz w:val="24"/>
                          <w:szCs w:val="24"/>
                        </w:rPr>
                        <m:t>s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sz w:val="24"/>
              <w:szCs w:val="24"/>
            </w:rPr>
            <m:t>+</m:t>
          </m:r>
          <m:f>
            <m:fPr>
              <m:type m:val="bar"/>
            </m:fPr>
            <m:num>
              <m:sSub>
                <m:e>
                  <m:r>
                    <w:rPr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sz w:val="24"/>
                  <w:szCs w:val="24"/>
                </w:rP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+</m:t>
                  </m:r>
                  <m:r>
                    <w:rPr>
                      <w:sz w:val="24"/>
                      <w:szCs w:val="24"/>
                    </w:rPr>
                    <m:t>π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−</m:t>
                  </m:r>
                  <m:r>
                    <w:rPr>
                      <w:sz w:val="24"/>
                      <w:szCs w:val="24"/>
                    </w:rPr>
                    <m:t>π</m:t>
                  </m:r>
                </m:e>
              </m:d>
              <m:r>
                <w:rPr>
                  <w:sz w:val="24"/>
                  <w:szCs w:val="24"/>
                </w:rPr>
                <m:t> 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sz w:val="24"/>
                          <w:szCs w:val="24"/>
                        </w:rPr>
                        <m:t>k</m:t>
                      </m:r>
                    </m:e>
                  </m:d>
                </m:e>
                <m:sup>
                  <m:r>
                    <w:rPr>
                      <w:sz w:val="24"/>
                      <w:szCs w:val="24"/>
                    </w:rPr>
                    <m:t>30</m:t>
                  </m:r>
                </m:sup>
              </m:sSup>
            </m:den>
          </m:f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V</m:t>
        </m:r>
        <m:d>
          <m:dPr>
            <m:begChr m:val="("/>
            <m:endChr m:val=")"/>
            <m:sepChr m:val=""/>
            <m:grow/>
          </m:dPr>
          <m:e>
            <m:r>
              <w:rPr>
                <w:b/>
                <w:bCs/>
                <w:color w:val="555555"/>
                <w:sz w:val="20"/>
                <w:szCs w:val="20"/>
              </w:rPr>
              <m:t>g</m:t>
            </m:r>
          </m:e>
        </m:d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a soma, do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s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=</m:t>
        </m:r>
        <m:r>
          <w:rPr>
            <w:b/>
            <w:bCs/>
            <w:color w:val="555555"/>
            <w:sz w:val="20"/>
            <w:szCs w:val="20"/>
          </w:rPr>
          <m:t>1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ao ano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s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=</m:t>
        </m:r>
        <m:r>
          <w:rPr>
            <w:b/>
            <w:bCs/>
            <w:color w:val="555555"/>
            <w:sz w:val="20"/>
            <w:szCs w:val="20"/>
          </w:rPr>
          <m:t>30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dos dividendos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D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s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trazidos a valor presente pela taxa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k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A essa soma se junta o valor da fase de maturidade: o lucro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E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30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corrigido pela inflação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π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vezes a parte distribuída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−</m:t>
        </m:r>
        <m:r>
          <w:rPr>
            <w:b/>
            <w:bCs/>
            <w:color w:val="555555"/>
            <w:sz w:val="20"/>
            <w:szCs w:val="20"/>
          </w:rPr>
          <m:t>π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/</m:t>
        </m:r>
        <m:r>
          <w:rPr>
            <w:b/>
            <w:bCs/>
            <w:color w:val="555555"/>
            <w:sz w:val="20"/>
            <w:szCs w:val="20"/>
          </w:rPr>
          <m:t>R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k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−</m:t>
        </m:r>
        <m:r>
          <w:rPr>
            <w:b/>
            <w:bCs/>
            <w:color w:val="555555"/>
            <w:sz w:val="20"/>
            <w:szCs w:val="20"/>
          </w:rPr>
          <m:t>π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trazido a valor presente por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b/>
                    <w:bCs/>
                    <w:color w:val="555555"/>
                    <w:sz w:val="20"/>
                    <w:szCs w:val="20"/>
                  </w:rPr>
                  <m:t>1</m:t>
                </m:r>
                <m:r>
                  <m:rPr>
                    <m:sty m:val="p"/>
                  </m:rPr>
                  <w:rPr>
                    <w:b/>
                    <w:bCs/>
                    <w:color w:val="555555"/>
                    <w:sz w:val="20"/>
                    <w:szCs w:val="20"/>
                  </w:rPr>
                  <m:t>+</m:t>
                </m:r>
                <m:r>
                  <w:rPr>
                    <w:b/>
                    <w:bCs/>
                    <w:color w:val="555555"/>
                    <w:sz w:val="20"/>
                    <w:szCs w:val="20"/>
                  </w:rPr>
                  <m:t>k</m:t>
                </m:r>
              </m:e>
            </m:d>
          </m:e>
          <m:sup>
            <m:r>
              <w:rPr>
                <w:b/>
                <w:bCs/>
                <w:color w:val="555555"/>
                <w:sz w:val="20"/>
                <w:szCs w:val="20"/>
              </w:rPr>
              <m:t>30</m:t>
            </m:r>
          </m:sup>
        </m:sSup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soma, trazidos para hoje, todos os dividendos que a empresa pagaria nesse caminho de lucro; na fase 3, o dividendo segue a regra do artigo, com crescimento </w:t>
      </w:r>
      <m:oMath>
        <m:r>
          <w:rPr>
            <w:i/>
            <w:iCs/>
            <w:color w:val="555555"/>
            <w:sz w:val="20"/>
            <w:szCs w:val="20"/>
          </w:rPr>
          <m:t>π</m:t>
        </m:r>
      </m:oMath>
      <w:r>
        <w:rPr>
          <w:i/>
          <w:iCs/>
          <w:color w:val="555555"/>
          <w:sz w:val="20"/>
          <w:szCs w:val="20"/>
        </w:rPr>
        <w:t xml:space="preserve">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r>
            <w:rPr>
              <w:sz w:val="24"/>
              <w:szCs w:val="24"/>
            </w:rPr>
            <m:t>V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w:rPr>
                      <w:sz w:val="24"/>
                      <w:szCs w:val="24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∗</m:t>
                  </m:r>
                </m:sup>
              </m:sSup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P</m:t>
          </m:r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p>
          <m:e>
            <m:r>
              <w:rPr>
                <w:b/>
                <w:bCs/>
                <w:color w:val="555555"/>
                <w:sz w:val="20"/>
                <w:szCs w:val="20"/>
              </w:rPr>
              <m:t>g</m:t>
            </m:r>
          </m:e>
          <m:sup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∗</m:t>
            </m:r>
          </m:sup>
        </m:sSup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a taxa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g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que faz o valor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V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ficar igual ao preço de mercado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P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crescimento anual que o preço de hoje já está cobrando da empresa.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"</w:t>
      </w:r>
      <m:oMath>
        <m:sSup>
          <m:e>
            <m:r>
              <w:rPr>
                <w:b/>
                <w:bCs/>
              </w:rPr>
              <m:t>g</m:t>
            </m:r>
          </m:e>
          <m:sup>
            <m:r>
              <m:rPr>
                <m:sty m:val="p"/>
              </m:rPr>
              <w:rPr>
                <w:b/>
                <w:bCs/>
              </w:rPr>
              <m:t>∗</m:t>
            </m:r>
          </m:sup>
        </m:sSup>
      </m:oMath>
      <w:r>
        <w:rPr>
          <w:b/>
          <w:bCs/>
        </w:rPr>
        <w:t xml:space="preserve">"</w:t>
      </w:r>
      <w:r>
        <w:t xml:space="preserve"> é encontrado por bisseção entre −20% e 60% ao ano. Se nem 60% justificam o preço, vale 60%.</w:t>
      </w:r>
    </w:p>
    <w:p>
      <w:pPr>
        <w:pStyle w:val="Heading2"/>
        <w:keepNext/>
        <w:keepLines/>
      </w:pPr>
      <w:r>
        <w:t xml:space="preserve">A nota do subitem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sz w:val="24"/>
              <w:szCs w:val="24"/>
            </w:rPr>
            <m:t>Folga</m:t>
          </m:r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R</m:t>
          </m:r>
          <m:r>
            <w:rPr>
              <w:sz w:val="24"/>
              <w:szCs w:val="24"/>
            </w:rP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w:rPr>
                  <w:sz w:val="24"/>
                  <w:szCs w:val="24"/>
                </w:rPr>
                <m:t>p</m:t>
              </m:r>
            </m:e>
          </m:d>
          <m:r>
            <m:rPr>
              <m:sty m:val="p"/>
            </m:rPr>
            <w:rPr>
              <w:sz w:val="24"/>
              <w:szCs w:val="24"/>
            </w:rPr>
            <m:t>−</m:t>
          </m:r>
          <m:sSup>
            <m:e>
              <m:r>
                <w:rPr>
                  <w:sz w:val="24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∗</m:t>
              </m:r>
            </m:sup>
          </m:sSup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Folga é a rentabilidade do patrimônio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R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menos o índice de distribuição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p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menos o crescimento implícito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p>
          <m:e>
            <m:r>
              <w:rPr>
                <w:b/>
                <w:bCs/>
                <w:color w:val="555555"/>
                <w:sz w:val="20"/>
                <w:szCs w:val="20"/>
              </w:rPr>
              <m:t>g</m:t>
            </m:r>
          </m:e>
          <m:sup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∗</m:t>
            </m:r>
          </m:sup>
        </m:sSup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compara o crescimento que a empresa consegue gerar com os próprios recursos com o crescimento que o preço exige. Folga positiva é bom sinal.</w:t>
      </w:r>
    </w:p>
    <w:p>
      <w:pPr>
        <w:spacing w:after="120" w:line="300"/>
        <w:jc w:val="both"/>
      </w:pPr>
      <w:r>
        <w:t xml:space="preserve">A Folga entra no Pilar 2 como os demais subitens, padronizada dentro do setor.</w:t>
      </w:r>
    </w:p>
    <w:p>
      <w:pPr>
        <w:pStyle w:val="Heading2"/>
        <w:keepNext/>
        <w:keepLines/>
      </w:pPr>
      <w:r>
        <w:t xml:space="preserve">Parâmetros congelados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registro prévio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(</w:t>
            </w:r>
            <m:oMath>
              <m:sSub>
                <m:e>
                  <m:r>
                    <w:rPr>
                      <w:sz w:val="19"/>
                      <w:szCs w:val="19"/>
                    </w:rPr>
                    <m:t>E</m:t>
                  </m:r>
                </m:e>
                <m:sub>
                  <m:r>
                    <w:rPr>
                      <w:sz w:val="19"/>
                      <w:szCs w:val="19"/>
                    </w:rPr>
                    <m:t>0</m:t>
                  </m:r>
                </m:sub>
              </m:sSub>
            </m:oMath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 lucro da controladora dos 3 últimos períodos de 12 meses, o mais recente até o último trimestre publicado; o preço </w:t>
            </w:r>
            <m:oMath>
              <m:r>
                <w:rPr>
                  <w:sz w:val="19"/>
                  <w:szCs w:val="19"/>
                </w:rPr>
                <m:t>P</m:t>
              </m:r>
            </m:oMath>
            <w:r>
              <w:rPr>
                <w:sz w:val="19"/>
                <w:szCs w:val="19"/>
              </w:rPr>
              <w:t xml:space="preserve"> é o valor de mercado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do patrimônio (</w:t>
            </w:r>
            <m:oMath>
              <m:r>
                <w:rPr>
                  <w:sz w:val="19"/>
                  <w:szCs w:val="19"/>
                </w:rPr>
                <m:t>R</m:t>
              </m:r>
            </m:oMath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limitada entre 5% e 40% ao 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de distribuição (</w:t>
            </w:r>
            <m:oMath>
              <m:r>
                <w:rPr>
                  <w:sz w:val="19"/>
                  <w:szCs w:val="19"/>
                </w:rPr>
                <m:t>p</m:t>
              </m:r>
            </m:oMath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dividendos e juros sobre capital pagos ÷ lucro da controladora, somados nos mesmos 3 períodos, limitado entre 0 e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Inflação esperada (</w:t>
            </w:r>
            <m:oMath>
              <m:r>
                <w:rPr>
                  <w:sz w:val="19"/>
                  <w:szCs w:val="19"/>
                </w:rPr>
                <m:t>π</m:t>
              </m:r>
            </m:oMath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mediana do Boletim Focus para o IPCA do ano seguinte, na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exigida (</w:t>
            </w:r>
            <m:oMath>
              <m:r>
                <w:rPr>
                  <w:sz w:val="19"/>
                  <w:szCs w:val="19"/>
                </w:rPr>
                <m:t>k</m:t>
              </m:r>
            </m:oMath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 real da NTN-B mais longa, mais </w:t>
            </w:r>
            <m:oMath>
              <m:r>
                <w:rPr>
                  <w:sz w:val="19"/>
                  <w:szCs w:val="19"/>
                </w:rPr>
                <m:t>π</m:t>
              </m:r>
            </m:oMath>
            <w:r>
              <w:rPr>
                <w:sz w:val="19"/>
                <w:szCs w:val="19"/>
              </w:rPr>
              <w:t xml:space="preserve">, mais 4 pontos percentuais de prêmio de risco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negativo ou zero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subitem sem dado (nota zero)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Bancos e seguradoras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mesma fórmula, com R e p do próprio balanço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Combinação e risco</w:t>
      </w:r>
    </w:p>
    <w:p>
      <w:pPr>
        <w:pStyle w:val="Heading2"/>
        <w:keepNext/>
        <w:keepLines/>
      </w:pPr>
      <w:r>
        <w:t xml:space="preserve">Proteção do momentum</w:t>
      </w:r>
    </w:p>
    <w:p>
      <w:pPr>
        <w:spacing w:after="120" w:line="300"/>
        <w:jc w:val="both"/>
      </w:pPr>
      <w:r>
        <w:t xml:space="preserve">O fator momentum tem colapsos raros e fortes, quase sempre na saída de mercados em queda (Daniel; Moskowitz, 2016). No Brasil isso apareceu em 2008 e 2009.</w:t>
      </w:r>
    </w:p>
    <w:p>
      <w:pPr>
        <w:spacing w:after="120" w:line="300"/>
        <w:jc w:val="both"/>
      </w:pPr>
      <w:r>
        <w:t xml:space="preserve">Reduzir a exposição ao fator quando a volatilidade dele sobe melhora o resultado e corta as piores perdas (Barroso; Santa-Clara, 2015).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24"/>
                  <w:szCs w:val="24"/>
                </w:rPr>
                <m:t>m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>
              <m:sty m:val="p"/>
            </m:rPr>
            <w:rPr>
              <w:sz w:val="24"/>
              <w:szCs w:val="24"/>
            </w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;</m:t>
              </m:r>
              <m:r>
                <w:rPr>
                  <w:sz w:val="24"/>
                  <w:szCs w:val="24"/>
                </w:rP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sz w:val="24"/>
                          <w:szCs w:val="24"/>
                        </w:rPr>
                        <m:t>alvo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w:rPr>
                              <w:sz w:val="24"/>
                              <w:szCs w:val="24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multiplicador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m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t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o menor valor entre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a volatilidade-alvo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σ</m:t>
            </m:r>
          </m:e>
          <m:sub>
            <m:r>
              <m:rPr>
                <m:nor/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alvo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dividida pela volatilidade realizada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acc>
              <m:accPr>
                <m:chr m:val="̂"/>
              </m:accPr>
              <m:e>
                <m:r>
                  <w:rPr>
                    <w:b/>
                    <w:bCs/>
                    <w:color w:val="555555"/>
                    <w:sz w:val="20"/>
                    <w:szCs w:val="20"/>
                  </w:rPr>
                  <m:t>σ</m:t>
                </m:r>
              </m:e>
            </m:acc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do fator momentum.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 fator momentum fica mais agitado que o normal, o peso dele diminui na mesma proporção; nunca aumenta além do peso cheio.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 realizada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b/>
          <w:bCs/>
        </w:rPr>
        <w:t xml:space="preserve">:</w:t>
      </w:r>
      <w:r>
        <w:t xml:space="preserve"> desvio-padrão dos retornos diários do fator WML do NEFIN nos últimos 126 pregões, anualizado.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Volatilidade-alvo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alvo</m:t>
            </m:r>
          </m:sub>
        </m:sSub>
      </m:oMath>
      <w:r>
        <w:rPr>
          <w:b/>
          <w:bCs/>
        </w:rPr>
        <w:t xml:space="preserve">:</w:t>
      </w:r>
      <w:r>
        <w:t xml:space="preserve"> 12% ao ano, o valor usado por Barroso e Santa-Clara (2015).</w:t>
      </w:r>
    </w:p>
    <w:p>
      <w:pPr>
        <w:pStyle w:val="Heading2"/>
        <w:keepNext/>
        <w:keepLines/>
      </w:pPr>
      <w:r>
        <w:t xml:space="preserve">Pesos dos pilares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24"/>
                  <w:szCs w:val="24"/>
                </w:rPr>
                <m:t>w</m:t>
              </m:r>
            </m:e>
            <m:sub>
              <m:r>
                <w:rPr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0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25</m:t>
          </m:r>
          <m:r>
            <w:rPr>
              <w:sz w:val="24"/>
              <w:szCs w:val="24"/>
            </w:rPr>
            <m:t> </m:t>
          </m:r>
          <m:sSub>
            <m:e>
              <m:r>
                <w:rPr>
                  <w:sz w:val="24"/>
                  <w:szCs w:val="24"/>
                </w:rPr>
                <m:t>m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;</m:t>
          </m:r>
          <m:r>
            <w:rPr>
              <w:sz w:val="24"/>
              <w:szCs w:val="24"/>
            </w:rPr>
            <m:t>  </m:t>
          </m:r>
          <m:sSub>
            <m:e>
              <m:r>
                <w:rPr>
                  <w:sz w:val="24"/>
                  <w:szCs w:val="24"/>
                </w:rPr>
                <m:t>w</m:t>
              </m:r>
            </m:e>
            <m:sub>
              <m:r>
                <w:rPr>
                  <w:sz w:val="24"/>
                  <w:szCs w:val="24"/>
                </w:rPr>
                <m:t>F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sSub>
            <m:e>
              <m:r>
                <w:rPr>
                  <w:sz w:val="24"/>
                  <w:szCs w:val="24"/>
                </w:rPr>
                <m:t>w</m:t>
              </m:r>
            </m:e>
            <m:sub>
              <m:r>
                <w:rPr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sSub>
            <m:e>
              <m:r>
                <w:rPr>
                  <w:sz w:val="24"/>
                  <w:szCs w:val="24"/>
                </w:rPr>
                <m:t>w</m:t>
              </m:r>
            </m:e>
            <m:sub>
              <m:r>
                <w:rPr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type m:val="bar"/>
            </m:fPr>
            <m:num>
              <m:r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e>
                  <m:r>
                    <w:rPr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sz w:val="24"/>
                      <w:szCs w:val="24"/>
                    </w:rPr>
                    <m:t>M</m:t>
                  </m:r>
                </m:sub>
              </m:sSub>
            </m:num>
            <m:den>
              <m:r>
                <w:rPr>
                  <w:sz w:val="24"/>
                  <w:szCs w:val="24"/>
                </w:rPr>
                <m:t>3</m:t>
              </m:r>
            </m:den>
          </m:f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w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M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do pilar Momentum é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0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25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m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Os pesos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w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F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w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A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w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C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dos outros três pilares são iguais e dividem entre si o que sobra,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−</m:t>
        </m:r>
        <m:sSub>
          <m:e>
            <m:r>
              <w:rPr>
                <w:b/>
                <w:bCs/>
                <w:color w:val="555555"/>
                <w:sz w:val="20"/>
                <w:szCs w:val="20"/>
              </w:rPr>
              <m:t>w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M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mercado calmo, os quatro pilares pesam 25% cada; em mercado turbulento, o peso que sai do Momentum vai para os outros três.</w:t>
      </w:r>
    </w:p>
    <w:p>
      <w:pPr>
        <w:pStyle w:val="Heading2"/>
        <w:keepNext/>
        <w:keepLines/>
      </w:pPr>
      <w:r>
        <w:t xml:space="preserve">Risco de crédito e de manipulação</w:t>
      </w:r>
    </w:p>
    <w:p>
      <w:pPr>
        <w:spacing w:after="120" w:line="300"/>
        <w:jc w:val="both"/>
      </w:pPr>
      <w:r>
        <w:t xml:space="preserve">Na v1.0.1, os dois indicadores contábeis de alerta passam a ser subitens do Pilar 4. Eles não tiram pontos fixos. Entram padronizados dentro do setor, como todos os outros subitens.</w:t>
      </w:r>
    </w:p>
    <w:p>
      <w:pPr>
        <w:spacing w:after="120" w:line="300"/>
        <w:jc w:val="both"/>
      </w:pPr>
      <w:r>
        <w:t xml:space="preserve">Assim, nenhum número é escolhido por nós. O peso deles vem da mesma regra que vale para o resto do Score.</w:t>
      </w:r>
    </w:p>
    <w:p>
      <w:pPr>
        <w:pStyle w:val="Heading3"/>
        <w:keepNext/>
        <w:keepLines/>
      </w:pPr>
      <w:r>
        <w:t xml:space="preserve">EM Score de Altman (2005)</w:t>
      </w:r>
    </w:p>
    <w:p>
      <w:pPr>
        <w:spacing w:after="120" w:line="300"/>
        <w:jc w:val="both"/>
      </w:pPr>
      <w:r>
        <w:t xml:space="preserve">O escore Z original de Altman (1968) foi calibrado só com indústrias americanas. O próprio Altman criou depois uma versão sem o giro do ativo e sem o valor de mercado, testada em indústrias e não indústrias. Para mercados emergentes, ela recebe uma constante.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E</m:t>
          </m:r>
          <m:r>
            <m:rPr>
              <m:sty m:val="p"/>
            </m:rPr>
            <w:rPr>
              <w:sz w:val="24"/>
              <w:szCs w:val="24"/>
            </w:rPr>
            <m:t>M</m:t>
          </m:r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6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56</m:t>
          </m:r>
          <m:r>
            <w:rPr>
              <w:sz w:val="24"/>
              <w:szCs w:val="24"/>
            </w:rPr>
            <m:t> </m:t>
          </m:r>
          <m:sSub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3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26</m:t>
          </m:r>
          <m:r>
            <w:rPr>
              <w:sz w:val="24"/>
              <w:szCs w:val="24"/>
            </w:rPr>
            <m:t> </m:t>
          </m:r>
          <m:sSub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6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72</m:t>
          </m:r>
          <m:r>
            <w:rPr>
              <w:sz w:val="24"/>
              <w:szCs w:val="24"/>
            </w:rPr>
            <m:t> </m:t>
          </m:r>
          <m:sSub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1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05</m:t>
          </m:r>
          <m:r>
            <w:rPr>
              <w:sz w:val="24"/>
              <w:szCs w:val="24"/>
            </w:rPr>
            <m:t> </m:t>
          </m:r>
          <m:sSub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3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w:rPr>
              <w:sz w:val="24"/>
              <w:szCs w:val="24"/>
            </w:rPr>
            <m:t>25</m:t>
          </m:r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m:rPr>
            <m:sty m:val="p"/>
          </m:rPr>
          <w:rPr>
            <w:b/>
            <w:bCs/>
            <w:color w:val="555555"/>
            <w:sz w:val="20"/>
            <w:szCs w:val="20"/>
          </w:rPr>
          <m:t>E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M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a soma ponderada dos quatro índices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X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1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X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4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com os pesos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6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56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3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26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6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72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05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mais a constante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3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,</m:t>
        </m:r>
        <m:r>
          <w:rPr>
            <w:b/>
            <w:bCs/>
            <w:color w:val="555555"/>
            <w:sz w:val="20"/>
            <w:szCs w:val="20"/>
          </w:rPr>
          <m:t>25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junta folga de caixa, lucro acumulado, lucro operacional e patrimônio frente às dívidas. Quanto maior a nota, menor o risco de falência.</w:t>
      </w:r>
    </w:p>
    <w:p>
      <w:pPr>
        <w:spacing w:after="120" w:line="300"/>
        <w:jc w:val="both"/>
      </w:pPr>
      <w:r>
        <w:t xml:space="preserve">Os quatro índices são calculados assim: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capital de giro (ativo circulante menos passivo circulante)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:</w:t>
      </w:r>
      <w:r>
        <w:t xml:space="preserve"> lucro acumulado ÷ ativo total. No Brasil, desde 2008 a conta "lucros acumulados" fica zerada no balanço. Por isso o lucro acumulado é a soma das reservas de lucros com os lucros ou prejuízos acumulados, como Altman recomenda adaptar à contabilidade local.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:</w:t>
      </w:r>
      <w:r>
        <w:t xml:space="preserve"> lucro operacional (antes de juros e impostos) dos últimos 12 meses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:</w:t>
      </w:r>
      <w:r>
        <w:t xml:space="preserve"> patrimônio líquido contábil ÷ passivo total.</w:t>
      </w:r>
    </w:p>
    <w:p>
      <w:pPr>
        <w:spacing w:after="120" w:line="300"/>
        <w:jc w:val="both"/>
      </w:pPr>
      <w:r>
        <w:t xml:space="preserve">As faixas de Altman (2005) ficam só como aviso na tela do Radar, sem mudar a nota: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segura:</w:t>
      </w:r>
      <w:r>
        <w:t xml:space="preserve"> 5,85 ou mais, equivalente a rating BBB ou melhor.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cinzenta:</w:t>
      </w:r>
      <w:r>
        <w:t xml:space="preserve"> de 4,15 a 5,85.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de perigo:</w:t>
      </w:r>
      <w:r>
        <w:t xml:space="preserve"> abaixo de 4,15, equivalente a rating B- ou pior. O Radar mostra o aviso "risco de crédito elevado".</w:t>
      </w:r>
    </w:p>
    <w:p>
      <w:pPr>
        <w:spacing w:after="120" w:line="300"/>
        <w:jc w:val="both"/>
      </w:pPr>
      <w:r>
        <w:t xml:space="preserve">Altman descreve outros cinco passos de ajuste (câmbio, setor, posição competitiva, garantias e risco do país). Eles são julgamentos de analista para títulos de dívida e não entram no Score. O próprio Altman diz que o primeiro passo, a nota sozinha, já traz informação útil.</w:t>
      </w:r>
    </w:p>
    <w:p>
      <w:pPr>
        <w:pStyle w:val="Heading3"/>
        <w:keepNext/>
        <w:keepLines/>
      </w:pPr>
      <w:r>
        <w:t xml:space="preserve">Escore M de Beneish (1999)</w:t>
      </w:r>
    </w:p>
    <w:p>
      <w:pPr>
        <w:spacing w:after="120" w:line="300"/>
        <w:jc w:val="both"/>
      </w:pPr>
      <w:r>
        <w:t xml:space="preserve">O escore M combina oito índices contábeis, com os pesos publicados por Beneish. Valores altos indicam lucro possivelmente inflado.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Score:</w:t>
      </w:r>
      <w:r>
        <w:t xml:space="preserve"> entra com o sinal trocado, porque escore M alto é ruim.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Aviso na tela:</w:t>
      </w:r>
      <w:r>
        <w:t xml:space="preserve"> escore M acima de −1,78, o limite do artigo.</w:t>
      </w:r>
    </w:p>
    <w:p>
      <w:pPr>
        <w:pStyle w:val="Heading3"/>
        <w:keepNext/>
        <w:keepLines/>
      </w:pPr>
      <w:r>
        <w:t xml:space="preserve">Quem fica de fora</w:t>
      </w:r>
    </w:p>
    <w:p>
      <w:pPr>
        <w:spacing w:after="120" w:line="300"/>
        <w:jc w:val="both"/>
      </w:pPr>
      <w:r>
        <w:t xml:space="preserve">Bancos, seguradoras e demais financeiras não têm nenhum dos dois subitens, porque os modelos não servem para os balanços delas. Para elas, os dois subitens entram com nota zero, a nota da ação típica.</w:t>
      </w:r>
    </w:p>
    <w:p>
      <w:pPr>
        <w:pStyle w:val="Heading2"/>
        <w:keepNext/>
        <w:keepLines/>
      </w:pPr>
      <w:r>
        <w:t xml:space="preserve">O Score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sz w:val="24"/>
              <w:szCs w:val="24"/>
            </w:rPr>
            <m:t>Score</m:t>
          </m:r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50</m:t>
          </m:r>
          <m:r>
            <m:rPr>
              <m:sty m:val="p"/>
            </m:rPr>
            <w:rPr>
              <w:sz w:val="24"/>
              <w:szCs w:val="24"/>
            </w:rPr>
            <m:t>+</m:t>
          </m:r>
          <m:f>
            <m:fPr>
              <m:type m:val="bar"/>
            </m:fPr>
            <m:num>
              <m:r>
                <w:rPr>
                  <w:sz w:val="24"/>
                  <w:szCs w:val="24"/>
                </w:rPr>
                <m:t>50</m:t>
              </m:r>
            </m:num>
            <m:den>
              <m:r>
                <w:rPr>
                  <w:sz w:val="24"/>
                  <w:szCs w:val="24"/>
                </w:rPr>
                <m:t>3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sz w:val="24"/>
                      <w:szCs w:val="24"/>
                    </w:rPr>
                    <m:t>M</m:t>
                  </m:r>
                </m:sub>
              </m:sSub>
              <m:r>
                <w:rPr>
                  <w:sz w:val="24"/>
                  <w:szCs w:val="24"/>
                </w:rPr>
                <m:t> </m:t>
              </m:r>
              <m:sSub>
                <m:e>
                  <m:r>
                    <w:rPr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e>
                  <m:r>
                    <w:rPr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sz w:val="24"/>
                  <w:szCs w:val="24"/>
                </w:rPr>
                <m:t> </m:t>
              </m:r>
              <m:sSub>
                <m:e>
                  <m:r>
                    <w:rPr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sz w:val="24"/>
                      <w:szCs w:val="24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e>
                  <m:r>
                    <w:rPr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sz w:val="24"/>
                  <w:szCs w:val="24"/>
                </w:rPr>
                <m:t> </m:t>
              </m:r>
              <m:sSub>
                <m:e>
                  <m:r>
                    <w:rPr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+</m:t>
              </m:r>
              <m:sSub>
                <m:e>
                  <m:r>
                    <w:rPr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sz w:val="24"/>
                      <w:szCs w:val="24"/>
                    </w:rPr>
                    <m:t>C</m:t>
                  </m:r>
                </m:sub>
              </m:sSub>
              <m:r>
                <w:rPr>
                  <w:sz w:val="24"/>
                  <w:szCs w:val="24"/>
                </w:rPr>
                <m:t> </m:t>
              </m:r>
              <m:sSub>
                <m:e>
                  <m:r>
                    <w:rPr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sz w:val="24"/>
                      <w:szCs w:val="24"/>
                    </w:rPr>
                    <m:t>C</m:t>
                  </m:r>
                </m:sub>
              </m:sSub>
            </m:e>
          </m:d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Score é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50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50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/</m:t>
        </m:r>
        <m:r>
          <w:rPr>
            <w:b/>
            <w:bCs/>
            <w:color w:val="555555"/>
            <w:sz w:val="20"/>
            <w:szCs w:val="20"/>
          </w:rPr>
          <m:t>3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vezes a soma das notas dos pilares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z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M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z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F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z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A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z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C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cada uma multiplicada pelo seu peso. O resultado fica limitado entre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100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vantagem consistente sobe a nota.</w:t>
      </w:r>
    </w:p>
    <w:p>
      <w:pPr>
        <w:spacing w:after="120" w:line="300"/>
        <w:jc w:val="both"/>
      </w:pPr>
      <w:r>
        <w:t xml:space="preserve">Com pesos iguais, a soma ponderada é a média das quatro notas, como na versão 0.2 (DeMiguel; Garlappi; Uppal, 2009).</w:t>
      </w:r>
    </w:p>
    <w:p>
      <w:pPr>
        <w:pStyle w:val="Heading1"/>
        <w:keepNext/>
        <w:keepLines/>
        <w:pageBreakBefore/>
      </w:pPr>
      <w:r>
        <w:t xml:space="preserve">6. Teste histórico</w:t>
      </w:r>
    </w:p>
    <w:p>
      <w:pPr>
        <w:spacing w:after="120" w:line="300"/>
        <w:jc w:val="both"/>
      </w:pPr>
      <w:r>
        <w:t xml:space="preserve">O teste histórico é a parte que mais engana quando mal feito.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Dados aprovados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Cotações:</w:t>
      </w:r>
      <w:r>
        <w:t xml:space="preserve"> arquivos anuais e diários de cotações históricas da B3 (COTAHIST), desde 2006.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dados abertos da CVM. O histórico trimestral (ITR)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Fatores de risco:</w:t>
      </w:r>
      <w:r>
        <w:t xml:space="preserve"> mercado, tamanho, valor, momentum, iliquidez e taxa livre de risco, diários, do NEFIN-USP.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Juros e inflação:</w:t>
      </w:r>
      <w:r>
        <w:t xml:space="preserve"> NTN-B (Tesouro Nacional) e Boletim Focus (Banco Central).</w:t>
      </w:r>
    </w:p>
    <w:p>
      <w:pPr>
        <w:pStyle w:val="Heading2"/>
        <w:keepNext/>
        <w:keepLines/>
      </w:pPr>
      <w:r>
        <w:t xml:space="preserve">Períodos</w:t>
      </w:r>
    </w:p>
    <w:p>
      <w:pPr>
        <w:spacing w:after="120" w:line="300"/>
        <w:jc w:val="both"/>
      </w:pPr>
      <w:r>
        <w:t xml:space="preserve">As datas de início dependem dos dados: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Pilar Momentum sozinho:</w:t>
      </w:r>
      <w:r>
        <w:t xml:space="preserve"> de 2007 a hoje, porque o sinal de 12 meses precisa de 2006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completo:</w:t>
      </w:r>
      <w:r>
        <w:t xml:space="preserve"> de 2013 a hoje. A surpresa de lucro precisa de 8 trimestres, e o histórico da CVM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Frequência:</w:t>
      </w:r>
      <w:r>
        <w:t xml:space="preserve"> Score recalculado no último pregão de cada mês, só com o que era público na data.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quintis mantidos por 1, 3, 6 e 12 meses, várias abertas ao mesmo tempo (Jegadeesh; Titman, 1993).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 do Radar:</w:t>
      </w:r>
      <w:r>
        <w:t xml:space="preserve"> além dos quintis, o teste acompanha a carteira com faixa de manutenção (capítulo 7), depois dos custos, com o giro mensal informado.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média dos coeficientes mensais mostra o poder de previsão (Fama; MacBeth, 1973), com erros corrigidos (Newey; West, 1987).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mostra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sSub>
            <m:e>
              <m:r>
                <w:rPr>
                  <w:sz w:val="24"/>
                  <w:szCs w:val="24"/>
                </w:rPr>
                <m:t>r</m:t>
              </m:r>
            </m:e>
            <m:sub>
              <m:r>
                <w:rPr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−</m:t>
          </m:r>
          <m:sSub>
            <m:e>
              <m:r>
                <w:rPr>
                  <w:sz w:val="24"/>
                  <w:szCs w:val="24"/>
                </w:rPr>
                <m:t>r</m:t>
              </m:r>
            </m:e>
            <m:sub>
              <m:r>
                <w:rPr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w:rPr>
              <w:sz w:val="24"/>
              <w:szCs w:val="24"/>
            </w:rPr>
            <m:t>α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β</m:t>
          </m:r>
          <m:r>
            <w:rPr>
              <w:sz w:val="24"/>
              <w:szCs w:val="24"/>
            </w:rPr>
            <m:t> </m:t>
          </m:r>
          <m:sSub>
            <m:e>
              <m:r>
                <m:rPr>
                  <m:sty m:val="p"/>
                </m:rPr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T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s</m:t>
          </m:r>
          <m:r>
            <w:rPr>
              <w:sz w:val="24"/>
              <w:szCs w:val="24"/>
            </w:rPr>
            <m:t> </m:t>
          </m:r>
          <m:sSub>
            <m:e>
              <m:r>
                <m:rPr>
                  <m:sty m:val="p"/>
                </m:rPr>
                <w:rPr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B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h</m:t>
          </m:r>
          <m:r>
            <w:rPr>
              <w:sz w:val="24"/>
              <w:szCs w:val="24"/>
            </w:rPr>
            <m:t> </m:t>
          </m:r>
          <m:sSub>
            <m:e>
              <m:r>
                <m:rPr>
                  <m:sty m:val="p"/>
                </m:rPr>
                <w:rPr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L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w</m:t>
          </m:r>
          <m:r>
            <w:rPr>
              <w:sz w:val="24"/>
              <w:szCs w:val="24"/>
            </w:rPr>
            <m:t> </m:t>
          </m:r>
          <m:sSub>
            <m:e>
              <m:r>
                <m:rPr>
                  <m:sty m:val="p"/>
                </m:rPr>
                <w:rPr>
                  <w:sz w:val="24"/>
                  <w:szCs w:val="24"/>
                </w:rPr>
                <m:t>W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L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w:rPr>
              <w:sz w:val="24"/>
              <w:szCs w:val="24"/>
            </w:rPr>
            <m:t>l</m:t>
          </m:r>
          <m:r>
            <w:rPr>
              <w:sz w:val="24"/>
              <w:szCs w:val="24"/>
            </w:rPr>
            <m:t> </m:t>
          </m:r>
          <m:sSub>
            <m:e>
              <m:r>
                <m:rPr>
                  <m:sty m:val="p"/>
                </m:rPr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L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sSub>
            <m:e>
              <m:r>
                <w:rPr>
                  <w:sz w:val="24"/>
                  <w:szCs w:val="24"/>
                </w:rPr>
                <m:t>ε</m:t>
              </m:r>
            </m:e>
            <m:sub>
              <m:r>
                <w:rPr>
                  <w:sz w:val="24"/>
                  <w:szCs w:val="24"/>
                </w:rPr>
                <m:t>t</m:t>
              </m:r>
            </m:sub>
          </m:sSub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r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p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,</m:t>
            </m:r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r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f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,</m:t>
            </m:r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t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igual ao alfa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α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mais a soma das cargas nos cinco fatores do NEFIN: mercado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K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T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tamanho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S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B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valor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H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L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, momentum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W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L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iliquidez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M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L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. O termo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ε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o erro.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keepNext/>
        <w:keepLines/>
        <w:shd w:fill="F4F1E6" w:color="auto" w:val="clear"/>
        <w:spacing w:after="80" w:before="12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C</m:t>
          </m:r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type m:val="bar"/>
            </m:fPr>
            <m:num>
              <m:r>
                <w:rPr>
                  <w:sz w:val="24"/>
                  <w:szCs w:val="24"/>
                </w:rPr>
                <m:t>1</m:t>
              </m:r>
            </m:num>
            <m:den>
              <m:r>
                <w:rPr>
                  <w:sz w:val="24"/>
                  <w:szCs w:val="24"/>
                </w:rP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w:rPr>
                  <w:sz w:val="24"/>
                  <w:szCs w:val="24"/>
                </w:rPr>
                <m:t>1</m:t>
              </m:r>
            </m:sub>
            <m:sup>
              <m:r>
                <w:rPr>
                  <w:sz w:val="24"/>
                  <w:szCs w:val="24"/>
                </w:rPr>
                <m:t>T</m:t>
              </m:r>
            </m:sup>
            <m:e>
              <m:sSub>
                <m:e>
                  <m:r>
                    <w:rPr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sz w:val="24"/>
                      <w:szCs w:val="24"/>
                    </w:rPr>
                    <m:t>t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w:rPr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;</m:t>
              </m:r>
              <m:r>
                <w:rPr>
                  <w:sz w:val="24"/>
                  <w:szCs w:val="24"/>
                </w:rPr>
                <m:t> </m:t>
              </m:r>
              <m:sSub>
                <m:e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e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,</m:t>
                  </m:r>
                  <m:r>
                    <w:rPr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+</m:t>
                  </m:r>
                  <m:r>
                    <w:rPr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m:rPr>
            <m:sty m:val="p"/>
          </m:rPr>
          <w:rPr>
            <w:b/>
            <w:bCs/>
            <w:color w:val="555555"/>
            <w:sz w:val="20"/>
            <w:szCs w:val="20"/>
          </w:rPr>
          <m:t>I</m:t>
        </m:r>
        <m:r>
          <m:rPr>
            <m:sty m:val="p"/>
          </m:rPr>
          <w:rPr>
            <w:b/>
            <w:bCs/>
            <w:color w:val="555555"/>
            <w:sz w:val="20"/>
            <w:szCs w:val="20"/>
          </w:rPr>
          <m:t>C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é a média, nos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T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meses, da correlação de postos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ρ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w:rPr>
                <w:b/>
                <w:bCs/>
                <w:color w:val="555555"/>
                <w:sz w:val="20"/>
                <w:szCs w:val="20"/>
              </w:rPr>
              <m:t>S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,</m:t>
            </m:r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r>
          <w:rPr>
            <w:b/>
            <w:bCs/>
            <w:color w:val="555555"/>
            <w:sz w:val="20"/>
            <w:szCs w:val="20"/>
          </w:rPr>
          <m:t>i</m:t>
        </m:r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</w:t>
      </w:r>
      <m:oMath>
        <m:sSub>
          <m:e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R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e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t</m:t>
            </m:r>
          </m:e>
          <m:sub>
            <m:r>
              <w:rPr>
                <w:b/>
                <w:bCs/>
                <w:color w:val="555555"/>
                <w:sz w:val="20"/>
                <w:szCs w:val="20"/>
              </w:rPr>
              <m:t>i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,</m:t>
            </m:r>
            <m:r>
              <w:rPr>
                <w:b/>
                <w:bCs/>
                <w:color w:val="555555"/>
                <w:sz w:val="20"/>
                <w:szCs w:val="20"/>
              </w:rPr>
              <m:t>t</m:t>
            </m:r>
            <m:r>
              <m:rPr>
                <m:sty m:val="p"/>
              </m:rPr>
              <w:rPr>
                <w:b/>
                <w:bCs/>
                <w:color w:val="555555"/>
                <w:sz w:val="20"/>
                <w:szCs w:val="20"/>
              </w:rPr>
              <m:t>+</m:t>
            </m:r>
            <m:r>
              <w:rPr>
                <w:b/>
                <w:bCs/>
                <w:color w:val="555555"/>
                <w:sz w:val="20"/>
                <w:szCs w:val="20"/>
              </w:rPr>
              <m:t>1</m:t>
            </m:r>
          </m:sub>
        </m:sSub>
      </m:oMath>
      <w:r>
        <w:rPr>
          <w:b/>
          <w:bCs/>
          <w:color w:val="555555"/>
          <w:sz w:val="20"/>
          <w:szCs w:val="20"/>
        </w:rPr>
        <w:t xml:space="preserve">"</w:t>
      </w:r>
      <w:r>
        <w:rPr>
          <w:color w:val="555555"/>
          <w:sz w:val="20"/>
          <w:szCs w:val="20"/>
        </w:rPr>
        <w:t xml:space="preserve"> no período seguinte.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se, em média, a ordem do ranking acerta a ordem dos retornos que vieram depois (Grinold; Kahn, 2000).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Contagem de tentativas:</w:t>
      </w:r>
      <w:r>
        <w:t xml:space="preserve"> cada variação testada depois deste registro é contada.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Significância maior:</w:t>
      </w:r>
      <w:r>
        <w:t xml:space="preserve"> estatística t mínima de 3, e não 2 (Harvey; Liu; Zhu,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desconta a sorte esperada pelo número de tentativas (Bailey; López de Prado, 2014).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por validação cruzada combinatória (Bailey et al., 2017; López de Prado, 2018).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teste de realidade de White (2000) ou de Hansen (2005).</w:t>
      </w:r>
    </w:p>
    <w:p>
      <w:pPr>
        <w:pStyle w:val="Heading2"/>
        <w:keepNext/>
        <w:keepLines/>
      </w:pPr>
      <w:r>
        <w:t xml:space="preserve">Conferência do EM Score</w:t>
      </w:r>
    </w:p>
    <w:p>
      <w:pPr>
        <w:spacing w:after="120" w:line="300"/>
        <w:jc w:val="both"/>
      </w:pPr>
      <w:r>
        <w:t xml:space="preserve">O relatório do teste mostra, por setor, se o EM Score antecipou recuperação judicial, falência ou cancelamento de registro em 12 e 24 meses. Os eventos vêm dos dados da CVM. É uma conferência do modelo, não um ajuste: se algum setor falhar, a exclusão entra numa versão nova, contada como tentativa.</w:t>
      </w:r>
    </w:p>
    <w:p>
      <w:pPr>
        <w:pStyle w:val="Heading1"/>
        <w:keepNext/>
        <w:keepLines/>
        <w:spacing w:before="360"/>
      </w:pPr>
      <w:r>
        <w:t xml:space="preserve">7. Critérios para publicar</w:t>
      </w:r>
    </w:p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 os critérios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</w:t>
            </w:r>
            <m:oMath>
              <m:r>
                <w:rPr>
                  <w:sz w:val="19"/>
                  <w:szCs w:val="19"/>
                </w:rPr>
                <m:t>t</m:t>
              </m:r>
              <m:r>
                <m:rPr>
                  <m:sty m:val="p"/>
                </m:rPr>
                <w:rPr>
                  <w:sz w:val="19"/>
                  <w:szCs w:val="19"/>
                </w:rPr>
                <m:t>≥</m:t>
              </m:r>
              <m:r>
                <w:rPr>
                  <w:sz w:val="19"/>
                  <w:szCs w:val="19"/>
                </w:rPr>
                <m:t>2</m:t>
              </m:r>
            </m:oMath>
            <w:r>
              <w:rPr>
                <w:sz w:val="19"/>
                <w:szCs w:val="19"/>
              </w:rPr>
              <w:t xml:space="preserve">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Enquanto não passar, a tela do Radar mostra "Ranking em calibração".</w:t>
      </w:r>
    </w:p>
    <w:p>
      <w:pPr>
        <w:pStyle w:val="Heading2"/>
        <w:keepNext/>
        <w:keepLines/>
        <w:pageBreakBefore/>
      </w:pPr>
      <w:r>
        <w:t xml:space="preserve">Carteira do Radar: faixa de manutenção</w:t>
      </w:r>
    </w:p>
    <w:p>
      <w:pPr>
        <w:spacing w:after="120" w:line="300"/>
        <w:jc w:val="both"/>
      </w:pPr>
      <w:r>
        <w:t xml:space="preserve">Novy-Marx e Velikov (2016) mostram que estratégias que trocam mais de 50% da carteira por mês costumam perder o ganho para os custos. A técnica mais eficaz para reduzir esse custo é exigir mais para entrar do que para ficar.</w:t>
      </w:r>
    </w:p>
    <w:p>
      <w:pPr>
        <w:spacing w:after="120" w:line="300"/>
        <w:jc w:val="both"/>
      </w:pPr>
      <w:r>
        <w:t xml:space="preserve">Na carteira do Radar, a regra é esta: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Entrada:</w:t>
      </w:r>
      <w:r>
        <w:t xml:space="preserve"> a ação entra quando chega aos 20% melhores do Score do mês.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Permanência:</w:t>
      </w:r>
      <w:r>
        <w:t xml:space="preserve"> a ação fica enquanto estiver entre os 40% melhores.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Saída:</w:t>
      </w:r>
      <w:r>
        <w:t xml:space="preserve"> a ação sai quando cai abaixo dos 40% melhores.</w:t>
      </w:r>
    </w:p>
    <w:p>
      <w:pPr>
        <w:spacing w:after="120" w:line="300"/>
        <w:jc w:val="both"/>
      </w:pPr>
      <w:r>
        <w:t xml:space="preserve">Assim, uma ação que oscila perto da linha de corte não entra e sai todo mês. A nota de cada ação não muda; só a regra da carteira.</w:t>
      </w:r>
    </w:p>
    <w:p>
      <w:pPr>
        <w:spacing w:after="120" w:line="300"/>
        <w:jc w:val="both"/>
      </w:pPr>
      <w:r>
        <w:t xml:space="preserve">Depois de aprovado, o Score segue acompanhado. Se o coeficiente de informação dos últimos 12 meses ficar negativo, a tela volta para "Ranking em calibração" até a revisão.</w:t>
      </w:r>
    </w:p>
    <w:p>
      <w:pPr>
        <w:pStyle w:val="Heading1"/>
        <w:keepNext/>
        <w:keepLines/>
        <w:spacing w:before="360"/>
      </w:pPr>
      <w:r>
        <w:t xml:space="preserve">8. Próximos passos</w:t>
      </w:r>
    </w:p>
    <w:p>
      <w:pPr>
        <w:spacing w:after="120" w:line="300"/>
        <w:jc w:val="both"/>
      </w:pPr>
      <w:r>
        <w:t xml:space="preserve">A construção segue esta ordem: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de cotações:</w:t>
      </w:r>
      <w:r>
        <w:t xml:space="preserve"> coletor das cotações da B3 de 2006 até hoje, com ajuste por proventos e desdobramentos.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das demonstrações:</w:t>
      </w:r>
      <w:r>
        <w:t xml:space="preserve"> DFP e ITR da CVM desde 2011, com a data de entrega de cada documento.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Fatores e juros:</w:t>
      </w:r>
      <w:r>
        <w:t xml:space="preserve"> fatores diários do NEFIN, NTN-B e Focus.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Motor de cálculo:</w:t>
      </w:r>
      <w:r>
        <w:t xml:space="preserve"> as sete camadas, com cada subitem conferido em empresas conhecidas.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Teste histórico:</w:t>
      </w:r>
      <w:r>
        <w:t xml:space="preserve"> rodado uma vez, conforme este registro, com relatório completo.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Decisão:</w:t>
      </w:r>
      <w:r>
        <w:t xml:space="preserve"> publicar se passar nos critérios; se não, revisar como nova versão.</w:t>
      </w:r>
    </w:p>
    <w:p>
      <w:pPr>
        <w:pStyle w:val="Heading1"/>
        <w:keepNext/>
        <w:keepLines/>
        <w:spacing w:before="360"/>
      </w:pPr>
      <w:r>
        <w:t xml:space="preserve">9. Referências</w:t>
      </w:r>
    </w:p>
    <w:p>
      <w:pPr>
        <w:spacing w:after="120" w:line="300"/>
        <w:jc w:val="both"/>
      </w:pPr>
      <w:r>
        <w:t xml:space="preserve">Lista no padrão ABNT (NBR 6023).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An emerging market credit scoring system for corporate bonds. </w:t>
      </w:r>
      <w:r>
        <w:rPr>
          <w:b/>
          <w:bCs/>
          <w:sz w:val="19"/>
          <w:szCs w:val="19"/>
        </w:rPr>
        <w:t xml:space="preserve">Emerging Markets Review</w:t>
      </w:r>
      <w:r>
        <w:rPr>
          <w:sz w:val="19"/>
          <w:szCs w:val="19"/>
        </w:rPr>
        <w:t xml:space="preserve">, v. 6, n. 4, p. 311-323,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BESSEMBINDER, H.; CHEN, T.-F.; CHOI, G.; WEI, K. C. J. Long-term shareholder returns: evidence from 64,000 global stocks.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79, n. 3, p. 33-63, 2023.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p. 31-52, 2021.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CAKICI, N.; TANG, Y.; YAN, A. Do the size, value, and momentum factors drive stock returns in emerging markets? </w:t>
      </w:r>
      <w:r>
        <w:rPr>
          <w:b/>
          <w:bCs/>
          <w:sz w:val="19"/>
          <w:szCs w:val="19"/>
        </w:rPr>
        <w:t xml:space="preserve">Journal of International Money and Finance</w:t>
      </w:r>
      <w:r>
        <w:rPr>
          <w:sz w:val="19"/>
          <w:szCs w:val="19"/>
        </w:rPr>
        <w:t xml:space="preserve">, v. 69, p. 179-204,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506-522,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GORDON, M. J. </w:t>
      </w:r>
      <w:r>
        <w:rPr>
          <w:b/>
          <w:bCs/>
          <w:sz w:val="19"/>
          <w:szCs w:val="19"/>
        </w:rPr>
        <w:t xml:space="preserve">The investment, financing, and valuation of the corporation</w:t>
      </w:r>
      <w:r>
        <w:rPr>
          <w:sz w:val="19"/>
          <w:szCs w:val="19"/>
        </w:rPr>
        <w:t xml:space="preserve">. Homewood: Richard D. Irwin, 1962.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MOLODOVSKY, N.; MAY, C.; CHOTTINER, S. Common stock valuation: principles, tables and application.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21, n. 2, p. 104-123, 1965.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22 out. 2026.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Metodologia v1.0.5 — registro prévio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metodologia v1.0.5 (registro prévio)</dc:title>
  <dc:creator>SOLIDUNS</dc:creator>
  <cp:lastModifiedBy>Un-named</cp:lastModifiedBy>
  <cp:revision>1</cp:revision>
  <dcterms:created xsi:type="dcterms:W3CDTF">2026-10-23T13:08:02.026Z</dcterms:created>
  <dcterms:modified xsi:type="dcterms:W3CDTF">2026-10-23T13:08:02.026Z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