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 — aprovada em 22 de outubro de 2026 (citações revistas)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Heading2"/>
        <w:keepNext/>
        <w:keepLines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 e aplica alertas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 e grupamentos.</w:t>
      </w:r>
    </w:p>
    <w:p>
      <w:pPr>
        <w:pStyle w:val="Heading2"/>
        <w:keepNext/>
        <w:keepLines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  <w:pageBreakBefore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"g"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"π"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gₛ = g, se s ≤ 10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g − (g − π) · (s − 10) / 20, se 10 &lt; s ≤ 30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π, se s &gt;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; entre os anos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menos a diferença entre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"20"</w:t>
      </w:r>
      <w:r>
        <w:rPr>
          <w:color w:val="555555"/>
          <w:sz w:val="20"/>
          <w:szCs w:val="20"/>
        </w:rPr>
        <w:t xml:space="preserve">; depois do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pouco. A mesma ligação aparece em Gordon (1962), pela taxa de crescimento sustentável.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Eₛ · (1 − gₛ / R)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dividida pela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para crescer, a empresa retém parte do lucro; quanto maior o crescimento, menor a parte que sobra para os acionistas.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V(g) = Σₛ₌₁³⁰ Dₛ / (1 + k)ˢ + [E₃₀ · (1 + π) · (1 − π / R)] / [(k − π) · (1 + k)³⁰]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em função de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soma, do ano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divididos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; mais o valor da fase de maturidade, que é o lucro </w:t>
      </w:r>
      <w:r>
        <w:rPr>
          <w:b/>
          <w:bCs/>
          <w:color w:val="555555"/>
          <w:sz w:val="20"/>
          <w:szCs w:val="20"/>
        </w:rPr>
        <w:t xml:space="preserve">"E₃₀"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, tudo dividido por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e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P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"g*"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igual à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índice de distribuição de lucros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(E₀)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por ação dos 3 últimos exercícios, sendo o mais recente os 12 meses até o último trimestre publicado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(R)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(p)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(k)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π,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mₜ = mín(1; σ_alvo / σ̂ₜ)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"σ_alvo"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"σ̂ₜ"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 (σ̂ₜ):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 (σ_alvo):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w_M = 0,25 · mₜ;   w_F = w_A = w_C = (1 − w_M) / 3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"0,25"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; os pesos </w:t>
      </w:r>
      <w:r>
        <w:rPr>
          <w:b/>
          <w:bCs/>
          <w:color w:val="555555"/>
          <w:sz w:val="20"/>
          <w:szCs w:val="20"/>
        </w:rPr>
        <w:t xml:space="preserve">"w_F"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"w_A"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"w_C"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Alertas contábeis</w:t>
      </w:r>
    </w:p>
    <w:p>
      <w:pPr>
        <w:spacing w:after="120" w:line="300"/>
        <w:jc w:val="both"/>
      </w:pPr>
      <w:r>
        <w:t xml:space="preserve">Os alertas tiram pontos da nota final e não formam um pilar: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Risco de insolvência:</w:t>
      </w:r>
      <w:r>
        <w:t xml:space="preserve"> escore Z de Altman (1968) na faixa de perigo tira 5 pontos.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Indício de manipulação de resultado:</w:t>
      </w:r>
      <w:r>
        <w:t xml:space="preserve"> escore M de Beneish (1999) acima de −1,78 tira 5 pontos.</w:t>
      </w:r>
    </w:p>
    <w:p>
      <w:pPr>
        <w:spacing w:after="120" w:line="300"/>
        <w:jc w:val="both"/>
      </w:pPr>
      <w:r>
        <w:t xml:space="preserve">O desconto máximo é de 10 pontos.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(w_M · z_M + w_F · z_F + w_A · z_A + w_C · z_C) − A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soma das notas dos pilares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"z_C"</w:t>
      </w:r>
      <w:r>
        <w:rPr>
          <w:color w:val="555555"/>
          <w:sz w:val="20"/>
          <w:szCs w:val="20"/>
        </w:rPr>
        <w:t xml:space="preserve">, cada uma multiplicada pelo seu peso; menos os pontos de alerta </w:t>
      </w:r>
      <w:r>
        <w:rPr>
          <w:b/>
          <w:bCs/>
          <w:color w:val="555555"/>
          <w:sz w:val="20"/>
          <w:szCs w:val="20"/>
        </w:rPr>
        <w:t xml:space="preserve">"A"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nota, e os alertas a reduzem.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 (registro prévio)</dc:title>
  <dc:creator>SOLIDUNS</dc:creator>
  <cp:lastModifiedBy>Un-named</cp:lastModifiedBy>
  <cp:revision>1</cp:revision>
  <dcterms:created xsi:type="dcterms:W3CDTF">2026-10-22T19:58:26.718Z</dcterms:created>
  <dcterms:modified xsi:type="dcterms:W3CDTF">2026-10-22T19:58:26.728Z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