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Arquitetura da metodologia e fundamentação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0.2 — rascunho para discussão (conclusão pendente)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16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O que muda</w:t>
      </w:r>
    </w:p>
    <w:p>
      <w:pPr>
        <w:spacing w:after="120" w:line="300"/>
        <w:jc w:val="both"/>
      </w:pPr>
      <w:r>
        <w:t xml:space="preserve">A versão 0.1 apresentou os pilares e as fórmulas. Esta versão 0.2 faz duas coisas que faltavam: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Arquitetura:</w:t>
      </w:r>
      <w:r>
        <w:t xml:space="preserve"> organiza a metodologia em camadas, da coleta do dado até a publicação, para que cada decisão tenha um lugar e possa ser testada sozinha.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Fundamentação:</w:t>
      </w:r>
      <w:r>
        <w:t xml:space="preserve"> liga cada pilar, cada subitem e cada etapa do teste histórico a livros e artigos publicados. A lista completa está no capítulo 7, no padrão ABNT.</w:t>
      </w:r>
    </w:p>
    <w:p>
      <w:pPr>
        <w:spacing w:after="120" w:line="300"/>
        <w:jc w:val="both"/>
      </w:pPr>
      <w:r>
        <w:t xml:space="preserve">A conclusão da metodologia continua </w:t>
      </w:r>
      <w:r>
        <w:rPr>
          <w:b/>
          <w:bCs/>
        </w:rPr>
        <w:t xml:space="preserve">pendente</w:t>
      </w:r>
      <w:r>
        <w:t xml:space="preserve">. Este documento serve para escolher o desenho antes de qualquer cálculo.</w:t>
      </w:r>
    </w:p>
    <w:p>
      <w:pPr>
        <w:pStyle w:val="Heading2"/>
        <w:keepNext/>
        <w:keepLines/>
      </w:pPr>
      <w:r>
        <w:t xml:space="preserve">O que a literatura ensina antes de começar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 O Score deve ser avaliado contra essa expectativa realista, e não contra o resultado dos artigos.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das anomalias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Crescimento passado prevê pouco o crescimento futuro:</w:t>
      </w:r>
      <w:r>
        <w:t xml:space="preserve"> o crescimento de lucro tem baixa persistência (Chan; Karceski; Lakonishok, 2003). Por isso o pilar de crescimento é redesenhado como </w:t>
      </w:r>
      <w:r>
        <w:rPr>
          <w:b/>
          <w:bCs/>
        </w:rPr>
        <w:t xml:space="preserve">momento fundamental</w:t>
      </w:r>
      <w:r>
        <w:t xml:space="preserve"> (capítulo 3).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 entre si, e a combinação é mais estável do que cada um isolado (Asness; Moskowitz; Pedersen, 2013).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No Brasil há evidência de momentum:</w:t>
      </w:r>
      <w:r>
        <w:t xml:space="preserve"> carteiras de vencedores superaram as de perdedores em todas as 64 comparações de 2009 a 2018, com custos (Civiletti; Campani; Roquete, 2020). A qualidade das empresas também é persistente no Brasil (Bortoluzzo; Pistili; Bortoluzzo, 2021).</w:t>
      </w:r>
    </w:p>
    <w:p>
      <w:pPr>
        <w:pStyle w:val="Heading1"/>
        <w:keepNext/>
        <w:keepLines/>
        <w:pageBreakBefore/>
      </w:pPr>
      <w:r>
        <w:t xml:space="preserve">2. Arquitetura em sete camadas</w:t>
      </w:r>
    </w:p>
    <w:p>
      <w:pPr>
        <w:spacing w:after="120" w:line="300"/>
        <w:jc w:val="both"/>
      </w:pPr>
      <w:r>
        <w:t xml:space="preserve">Cada camada recebe o resultado da anterior e entrega um produto bem definido. Isso permite trocar ou testar uma camada sem mexer nas outras.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sinais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 e aplica alertas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Ranking, faixas,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Registro de cada versão e de cada teste feito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precisa incluir as empresas que deixaram a bolsa (falência, fechamento de capital, incorporação). Sem elas, o teste fica otimista.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 e grupamentos, para o retorno medido ser o retorno do acionista.</w:t>
      </w:r>
    </w:p>
    <w:p>
      <w:pPr>
        <w:pStyle w:val="Heading2"/>
        <w:keepNext/>
        <w:keepLines/>
      </w:pPr>
      <w:r>
        <w:t xml:space="preserve">Camada 2 — Universo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acima de um piso, combinado com o índice de iliquidez de Amihud (2002), que mede quanto o preço anda para cada real negociado.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de fundamentos, porque o balanço deles não tem EBITDA nem dívida líquida no mesmo sentido.</w:t>
      </w:r>
    </w:p>
    <w:p>
      <w:pPr>
        <w:pStyle w:val="Heading2"/>
        <w:keepNext/>
        <w:keepLines/>
      </w:pPr>
      <w:r>
        <w:t xml:space="preserve">Camadas 4 e 5 — Tratamento e combinação</w:t>
      </w:r>
    </w:p>
    <w:p>
      <w:pPr>
        <w:spacing w:after="120" w:line="300"/>
        <w:jc w:val="both"/>
      </w:pPr>
      <w:r>
        <w:t xml:space="preserve">A versão 0.1 usava percentis. A proposta agora é a nota padronizada robusta, que preserva a distância entre as ações (o percentil trata a 1ª e a 2ª colocadas como vizinhas, mesmo quando uma é muito melhor).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setor, sem se deixar levar por valores extremos.</w:t>
      </w:r>
    </w:p>
    <w:p>
      <w:pPr>
        <w:spacing w:after="120" w:line="300"/>
        <w:jc w:val="both"/>
      </w:pPr>
      <w:r>
        <w:t xml:space="preserve">Os pesos dos pilares começam </w:t>
      </w:r>
      <w:r>
        <w:rPr>
          <w:b/>
          <w:bCs/>
        </w:rPr>
        <w:t xml:space="preserve">iguais</w:t>
      </w:r>
      <w:r>
        <w:t xml:space="preserve">, de 25% cada. A literatura mostra que pesos iguais costumam superar pesos otimizados fora da amostra, porque a otimização aprende o ruído do passado (DeMiguel; Garlappi; Uppal, 2009). Pesos diferentes só entram numa versão futura, se o teste fora da amostra mostrar ganho claro.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média(zM, zF, zA, zC)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média das notas padronizadas dos quatro pilares </w:t>
      </w:r>
      <w:r>
        <w:rPr>
          <w:b/>
          <w:bCs/>
          <w:color w:val="555555"/>
          <w:sz w:val="20"/>
          <w:szCs w:val="20"/>
        </w:rPr>
        <w:t xml:space="preserve">"zM"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"zC"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ponto de vantagem consistente sobe a nota.</w:t>
      </w:r>
    </w:p>
    <w:p>
      <w:pPr>
        <w:pStyle w:val="Heading2"/>
        <w:keepNext/>
        <w:keepLines/>
      </w:pPr>
      <w:r>
        <w:t xml:space="preserve">Camada 6 — Risco e regime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Quedas bruscas do momentum:</w:t>
      </w:r>
      <w:r>
        <w:t xml:space="preserve"> o fator momentum tem colapsos raros e fortes, quase sempre na saída de mercados em queda (Daniel; Moskowitz, 2016). No Brasil isso apareceu em 2008 e 2009.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Ajuste pela volatilidade:</w:t>
      </w:r>
      <w:r>
        <w:t xml:space="preserve"> reduzir o peso do pilar Momentum quando a volatilidade recente do próprio fator sobe melhora o resultado e corta as piores perdas (Barroso; Santa-Clara, 2015).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Alertas contábeis:</w:t>
      </w:r>
      <w:r>
        <w:t xml:space="preserve"> risco de insolvência (Altman, 1968; Campbell; Hilscher; Szilagyi, 2008) e sinais de manipulação de resultado (Beneish, 1999) entram como descontos na nota, e não como pilar.</w:t>
      </w:r>
    </w:p>
    <w:p>
      <w:pPr>
        <w:pStyle w:val="Heading1"/>
        <w:keepNext/>
        <w:keepLines/>
        <w:pageBreakBefore/>
      </w:pPr>
      <w:r>
        <w:t xml:space="preserve">3. Fundamentação dos pilares</w:t>
      </w:r>
    </w:p>
    <w:p>
      <w:pPr>
        <w:spacing w:after="120" w:line="300"/>
        <w:jc w:val="both"/>
      </w:pPr>
      <w:r>
        <w:t xml:space="preserve">Cada subitem abaixo tem pelo menos uma referência publicada. Os pilares foram revistos em relação à versão 0.1 conforme a literatura.</w:t>
      </w:r>
    </w:p>
    <w:p>
      <w:pPr>
        <w:pStyle w:val="Heading2"/>
        <w:keepNext/>
        <w:keepLines/>
      </w:pPr>
      <w:r>
        <w:t xml:space="preserve">Pilar 1 — Momentum de preço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 por meses;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volume indica em que fase do ciclo o momentum está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</w:tbl>
    <w:p>
      <w:pPr>
        <w:pStyle w:val="Heading2"/>
        <w:keepNext/>
        <w:keepLines/>
      </w:pPr>
      <w:r>
        <w:t xml:space="preserve">Pilar 3 — Momento fundamental</w:t>
      </w:r>
    </w:p>
    <w:p>
      <w:pPr>
        <w:spacing w:after="120" w:line="300"/>
        <w:jc w:val="both"/>
      </w:pPr>
      <w:r>
        <w:t xml:space="preserve">A versão 0.1 media o crescimento e a aceleração da receita. Como o crescimento passado se repete pouco (Chan; Karceski; Lakonishok, 2003), a proposta agora é medir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contábeis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4. Arquitetura do teste histórico</w:t>
      </w:r>
    </w:p>
    <w:p>
      <w:pPr>
        <w:spacing w:after="120" w:line="300"/>
        <w:jc w:val="both"/>
      </w:pPr>
      <w:r>
        <w:t xml:space="preserve">O teste histórico (backtest) é a parte que mais engana quando mal feito. A literatura recente trata o excesso de testes como o principal risco: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e frequência:</w:t>
      </w:r>
      <w:r>
        <w:t xml:space="preserve"> de 2006 até hoje, com o Score recalculado no último pregão de cada mês, só com o que era público na data.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carteiras por quintil, mantidas por 1, 3, 6 e 12 meses, com várias carteiras abertas ao mesmo tempo, como em Jegadeesh e Titman (1993).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cada mês, o retorno seguinte das ações é explicado pelo Score; a média dos coeficientes no tempo mostra o poder de previsão (Fama; MacBeth, 1973), com erros corrigidos para dependência no tempo (Newey; West, 1987).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o retorno do quintil do topo menos o do quintil de baixo é comparado aos fatores de mercado, tamanho, valor, momentum e liquidez publicados pelo NEFIN-USP. Assim se vê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Registro prévio:</w:t>
      </w:r>
      <w:r>
        <w:t xml:space="preserve"> o desenho, os pesos e os critérios são gravados antes do primeiro teste. Cada variação testada depois é contada.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Exigência maior de significância:</w:t>
      </w:r>
      <w:r>
        <w:t xml:space="preserve"> com centenas de fatores já testados no mundo, a estatística t mínima recomendada é 3, e não 2 (Harvey; Liu; Zhu, 2016).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Índice de Sharpe deflacionado:</w:t>
      </w:r>
      <w:r>
        <w:t xml:space="preserve"> desconta do Sharpe a sorte esperada pelo número de tentativas (Bailey; López de Prado, 2014).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mede, por validação cruzada combinatória, a chance de a melhor variação no passado ficar abaixo da mediana no futuro (Bailey et al., 2017; López de Prado, 2018).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quando várias versões forem comparadas, usa-se o teste de realidade de White (2000) ou o de Hansen (2005), que levam em conta o fato de terem sido testadas juntas.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dessa ação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média, mostra se a ordem do ranking acerta a ordem dos retornos que vieram depois (Grinold; Kahn, 2000).</w:t>
      </w:r>
    </w:p>
    <w:p>
      <w:pPr>
        <w:pStyle w:val="Heading1"/>
        <w:keepNext/>
        <w:spacing w:before="480"/>
      </w:pPr>
      <w:r>
        <w:t xml:space="preserve">5. Critérios propostos</w:t>
      </w:r>
    </w:p>
    <w:p>
      <w:pPr>
        <w:spacing w:after="120" w:line="300"/>
        <w:jc w:val="both"/>
      </w:pPr>
      <w:r>
        <w:t xml:space="preserve">Os critérios abaixo substituem os da versão 0.1 e ficam mais rígidos, conforme a literatura sobre excesso de testes.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 para publicar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Mesmo aprovado, o Score segue sendo acompanhado: se o coeficiente de informação dos últimos 12 meses ficar negativo, a tela volta para "Ranking em calibração" até a revisão.</w:t>
      </w:r>
    </w:p>
    <w:p>
      <w:pPr>
        <w:pStyle w:val="Heading1"/>
        <w:keepNext/>
        <w:spacing w:before="480"/>
      </w:pPr>
      <w:r>
        <w:t xml:space="preserve">6. Decisões para a próxima rodada</w:t>
      </w:r>
    </w:p>
    <w:p>
      <w:pPr>
        <w:spacing w:after="120" w:line="300"/>
        <w:jc w:val="both"/>
      </w:pPr>
      <w:r>
        <w:t xml:space="preserve">Para fechar a versão 1.0, é preciso decidir: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Pesos iguais (25% cada)</w:t>
      </w:r>
      <w:r>
        <w:t xml:space="preserve"> no começo, como recomenda a literatura, ou os pesos da versão 0.1.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Pilar 3:</w:t>
      </w:r>
      <w:r>
        <w:t xml:space="preserve"> trocar crescimento e aceleração por momento fundamental (surpresa de lucro e escore de crescimento saudável).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Ajuste do momentum pela volatilidade:</w:t>
      </w:r>
      <w:r>
        <w:t xml:space="preserve"> usar ou não na camada 6.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Fontes de dados extras:</w:t>
      </w:r>
      <w:r>
        <w:t xml:space="preserve"> histórico de preços desde 2006 e fatores do NEFIN-USP, ambos públicos.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Critérios do capítulo 5:</w:t>
      </w:r>
      <w:r>
        <w:t xml:space="preserve"> aprovar como estão ou ajustar.</w:t>
      </w:r>
    </w:p>
    <w:p>
      <w:pPr>
        <w:pStyle w:val="Heading1"/>
        <w:keepNext/>
        <w:spacing w:before="480"/>
      </w:pPr>
      <w:r>
        <w:t xml:space="preserve">7. Referências</w:t>
      </w:r>
    </w:p>
    <w:p>
      <w:pPr>
        <w:spacing w:after="120" w:line="300"/>
        <w:jc w:val="both"/>
      </w:pPr>
      <w:r>
        <w:t xml:space="preserve">Lista no padrão ABNT (NBR 6023). Artigos e livros citados nesta versão.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2021.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507-522, 2020.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16 out. 2026.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90" w:line="26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7"/>
      <w:footerReference w:type="default" r:id="rId8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Arquitetura v0.2 — rascunho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arquitetura e fundamentação v0.2</dc:title>
  <dc:creator>SOLIDUNS</dc:creator>
  <cp:lastModifiedBy>Un-named</cp:lastModifiedBy>
  <cp:revision>1</cp:revision>
  <dcterms:created xsi:type="dcterms:W3CDTF">2026-10-16T20:22:39.498Z</dcterms:created>
  <dcterms:modified xsi:type="dcterms:W3CDTF">2026-10-16T20:22:39.498Z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