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Automated</w:t>
      </w:r>
      <w:r>
        <w:t xml:space="preserve"> </w:t>
      </w:r>
      <w:r>
        <w:t xml:space="preserve">Report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04,</w:t>
      </w:r>
      <w:r>
        <w:t xml:space="preserve"> </w:t>
      </w:r>
      <w:r>
        <w:t xml:space="preserve">2023</w:t>
      </w:r>
    </w:p>
    <w:bookmarkStart w:id="24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is a very basic illustration of the kind of automated reports you can generate with R markdown. In this set-up, you have limited options for formatting (e.g., page breaks or figure captions require workarounds), but it shows the key benefit: every time you source data is updated you can quickly generate an updated report with all the updated figures and tables.</w:t>
      </w:r>
    </w:p>
    <w:p>
      <w:pPr>
        <w:pStyle w:val="BodyText"/>
      </w:pPr>
      <w:r>
        <w:t xml:space="preserve">This document was generated following the steps from this</w:t>
      </w:r>
      <w:r>
        <w:t xml:space="preserve"> </w:t>
      </w:r>
      <w:hyperlink r:id="rId20">
        <w:r>
          <w:rPr>
            <w:rStyle w:val="Hyperlink"/>
          </w:rPr>
          <w:t xml:space="preserve">worked example</w:t>
        </w:r>
      </w:hyperlink>
      <w:r>
        <w:t xml:space="preserve">. For an in-depth description of many possibilities for markdown reports (pdf, html, word, powerpoint), start with</w:t>
      </w:r>
      <w:r>
        <w:t xml:space="preserve"> </w:t>
      </w:r>
      <w:hyperlink r:id="rId21">
        <w:r>
          <w:rPr>
            <w:rStyle w:val="Hyperlink"/>
          </w:rPr>
          <w:t xml:space="preserve">this guide</w:t>
        </w:r>
      </w:hyperlink>
      <w:r>
        <w:t xml:space="preserve">. For a properly formatted technical report, consider the versatile</w:t>
      </w:r>
      <w:r>
        <w:t xml:space="preserve"> </w:t>
      </w:r>
      <w:hyperlink r:id="rId22">
        <w:r>
          <w:rPr>
            <w:rStyle w:val="Hyperlink"/>
          </w:rPr>
          <w:t xml:space="preserve">bookdown package</w:t>
        </w:r>
      </w:hyperlink>
      <w:r>
        <w:t xml:space="preserve"> </w:t>
      </w:r>
      <w:r>
        <w:t xml:space="preserve">or the</w:t>
      </w:r>
      <w:r>
        <w:t xml:space="preserve"> </w:t>
      </w:r>
      <w:hyperlink r:id="rId23">
        <w:r>
          <w:rPr>
            <w:rStyle w:val="Hyperlink"/>
          </w:rPr>
          <w:t xml:space="preserve">csasdown extension</w:t>
        </w:r>
      </w:hyperlink>
      <w:r>
        <w:t xml:space="preserve"> </w:t>
      </w:r>
      <w:r>
        <w:t xml:space="preserve">specifically for DFO technical reports and research documents.</w:t>
      </w:r>
    </w:p>
    <w:p>
      <w:pPr>
        <w:pStyle w:val="BodyText"/>
      </w:pPr>
      <w:r>
        <w:rPr>
          <w:iCs/>
          <w:i/>
        </w:rPr>
        <w:t xml:space="preserve">Important</w:t>
      </w:r>
      <w:r>
        <w:t xml:space="preserve">: It is easy to get lost in the beautiful intricacies of generating perfectly-formatted reports using these more powerful tools for generating reports from markdown. However, the real bottleneck is getting a streamlined workflow up and running, from the individual data contributors to a basic summary of available information. Until that step works smoothly, a very basic report like this example should be sufficient.</w:t>
      </w:r>
      <w:r>
        <w:t xml:space="preserve"> </w:t>
      </w:r>
      <w:r>
        <w:rPr>
          <w:iCs/>
          <w:i/>
        </w:rPr>
        <w:t xml:space="preserve">Don’t procrastinate on the hard part by spending your time on the flashy stuff!</w:t>
      </w:r>
    </w:p>
    <w:bookmarkEnd w:id="24"/>
    <w:bookmarkStart w:id="25" w:name="example-of-automated-summary-text"/>
    <w:p>
      <w:pPr>
        <w:pStyle w:val="Heading2"/>
      </w:pPr>
      <w:r>
        <w:t xml:space="preserve">Example of Automated Summary Text</w:t>
      </w:r>
    </w:p>
    <w:p>
      <w:pPr>
        <w:pStyle w:val="FirstParagraph"/>
      </w:pPr>
      <w:r>
        <w:rPr>
          <w:iCs/>
          <w:i/>
        </w:rPr>
        <w:t xml:space="preserve">The values in the text below are calculated from the data summaries and update automatically when the source data changes</w:t>
      </w:r>
    </w:p>
    <w:p>
      <w:pPr>
        <w:pStyle w:val="BodyText"/>
      </w:pPr>
      <w:r>
        <w:t xml:space="preserve">The current data set covers 11 assessment projects. Survey types include Aerial, MR, Sonar, Weir. The earliest record is from 1961.</w:t>
      </w:r>
    </w:p>
    <w:bookmarkEnd w:id="25"/>
    <w:bookmarkStart w:id="29" w:name="example-of-a-summary-plot"/>
    <w:p>
      <w:pPr>
        <w:pStyle w:val="Heading2"/>
      </w:pPr>
      <w:r>
        <w:t xml:space="preserve">Example of A Summary Plot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S/DataOverview_AL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</w:t>
      </w:r>
      <w:r>
        <w:t xml:space="preserve"> </w:t>
      </w:r>
      <w:r>
        <w:t xml:space="preserve">Overview of available data. For each assessment project, the timeline shows available estimates, categorized into three types: records for which uncertainty has been quantified (i.e., a coefficient of variation, CV, is available as well), records for which only a point estimate is available, and records that have been excluded due to data quality concerns (e.g., poor visibility during aerial survey).</w:t>
      </w:r>
    </w:p>
    <w:bookmarkEnd w:id="29"/>
    <w:bookmarkStart w:id="33" w:name="another-example-of-a-summary-plot"/>
    <w:p>
      <w:pPr>
        <w:pStyle w:val="Heading2"/>
      </w:pPr>
      <w:r>
        <w:t xml:space="preserve">Another Example of A Summary Plot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LOTS/RankingPlot_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2:</w:t>
      </w:r>
      <w:r>
        <w:t xml:space="preserve"> </w:t>
      </w:r>
      <w:r>
        <w:t xml:space="preserve">Comparison of abundance estimates across project. Figure shows the smallest, mean, and largest abundance estimate. Projects are ranked by mean estimate.</w:t>
      </w:r>
    </w:p>
    <w:bookmarkEnd w:id="33"/>
    <w:bookmarkStart w:id="34" w:name="example-of-a-summary-table"/>
    <w:p>
      <w:pPr>
        <w:pStyle w:val="Heading2"/>
      </w:pPr>
      <w:r>
        <w:t xml:space="preserve">Example of a Summary Table</w:t>
      </w:r>
    </w:p>
    <w:p>
      <w:pPr>
        <w:pStyle w:val="FirstParagraph"/>
      </w:pPr>
      <w:r>
        <w:rPr>
          <w:bCs/>
          <w:b/>
        </w:rPr>
        <w:t xml:space="preserve">Table 1:</w:t>
      </w:r>
      <w:r>
        <w:t xml:space="preserve"> </w:t>
      </w:r>
      <w:r>
        <w:t xml:space="preserve">Project inventory.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NumCV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LastYr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Andreafsky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Andreafsky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Andreafsky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Anvik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Koyukuk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Teslin Headwaters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Porcupine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Sonar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bookmarkEnd w:id="34"/>
    <w:bookmarkStart w:id="35" w:name="example-of-a-project-detail-section"/>
    <w:p>
      <w:pPr>
        <w:pStyle w:val="Heading2"/>
      </w:pPr>
      <w:r>
        <w:t xml:space="preserve">Example of A Project Detail Section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8f8f8" w:val="clear"/>
    </w:pPr>
  </w:style>
  <w:style w:customStyle="1" w:styleId="KeywordTok" w:type="character">
    <w:name w:val="KeywordTok"/>
    <w:basedOn w:val="VerbatimChar"/>
    <w:rPr>
      <w:color w:val="204a87"/>
      <w:shd w:fill="f8f8f8" w:val="clear"/>
      <w:b/>
    </w:rPr>
  </w:style>
  <w:style w:customStyle="1" w:styleId="DataTypeTok" w:type="character">
    <w:name w:val="DataTypeTok"/>
    <w:basedOn w:val="VerbatimChar"/>
    <w:rPr>
      <w:color w:val="204a87"/>
      <w:shd w:fill="f8f8f8" w:val="clear"/>
    </w:rPr>
  </w:style>
  <w:style w:customStyle="1" w:styleId="DecValTok" w:type="character">
    <w:name w:val="DecValTok"/>
    <w:basedOn w:val="VerbatimChar"/>
    <w:rPr>
      <w:color w:val="0000cf"/>
      <w:shd w:fill="f8f8f8" w:val="clear"/>
    </w:rPr>
  </w:style>
  <w:style w:customStyle="1" w:styleId="BaseNTok" w:type="character">
    <w:name w:val="BaseNTok"/>
    <w:basedOn w:val="VerbatimChar"/>
    <w:rPr>
      <w:color w:val="0000cf"/>
      <w:shd w:fill="f8f8f8" w:val="clear"/>
    </w:rPr>
  </w:style>
  <w:style w:customStyle="1" w:styleId="FloatTok" w:type="character">
    <w:name w:val="FloatTok"/>
    <w:basedOn w:val="VerbatimChar"/>
    <w:rPr>
      <w:color w:val="0000cf"/>
      <w:shd w:fill="f8f8f8" w:val="clear"/>
    </w:rPr>
  </w:style>
  <w:style w:customStyle="1" w:styleId="ConstantTok" w:type="character">
    <w:name w:val="ConstantTok"/>
    <w:basedOn w:val="VerbatimChar"/>
    <w:rPr>
      <w:color w:val="000000"/>
      <w:shd w:fill="f8f8f8" w:val="clear"/>
    </w:rPr>
  </w:style>
  <w:style w:customStyle="1" w:styleId="CharTok" w:type="character">
    <w:name w:val="CharTok"/>
    <w:basedOn w:val="VerbatimChar"/>
    <w:rPr>
      <w:color w:val="4e9a06"/>
      <w:shd w:fill="f8f8f8" w:val="clear"/>
    </w:rPr>
  </w:style>
  <w:style w:customStyle="1" w:styleId="SpecialCharTok" w:type="character">
    <w:name w:val="SpecialCharTok"/>
    <w:basedOn w:val="VerbatimChar"/>
    <w:rPr>
      <w:color w:val="000000"/>
      <w:shd w:fill="f8f8f8" w:val="clear"/>
    </w:rPr>
  </w:style>
  <w:style w:customStyle="1" w:styleId="StringTok" w:type="character">
    <w:name w:val="StringTok"/>
    <w:basedOn w:val="VerbatimChar"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rPr>
      <w:color w:val="4e9a06"/>
      <w:shd w:fill="f8f8f8" w:val="clear"/>
    </w:rPr>
  </w:style>
  <w:style w:customStyle="1" w:styleId="ImportTok" w:type="character">
    <w:name w:val="ImportTok"/>
    <w:basedOn w:val="VerbatimChar"/>
    <w:rPr>
      <w:shd w:fill="f8f8f8" w:val="clear"/>
    </w:rPr>
  </w:style>
  <w:style w:customStyle="1" w:styleId="CommentTok" w:type="character">
    <w:name w:val="CommentTok"/>
    <w:basedOn w:val="VerbatimChar"/>
    <w:rPr>
      <w:color w:val="8f5902"/>
      <w:shd w:fill="f8f8f8" w:val="clear"/>
      <w:i/>
    </w:rPr>
  </w:style>
  <w:style w:customStyle="1" w:styleId="DocumentationTok" w:type="character">
    <w:name w:val="DocumentationTok"/>
    <w:basedOn w:val="VerbatimChar"/>
    <w:rPr>
      <w:color w:val="8f5902"/>
      <w:shd w:fill="f8f8f8" w:val="clear"/>
      <w:b/>
      <w:i/>
    </w:rPr>
  </w:style>
  <w:style w:customStyle="1" w:styleId="AnnotationTok" w:type="character">
    <w:name w:val="AnnotationTok"/>
    <w:basedOn w:val="VerbatimChar"/>
    <w:rPr>
      <w:color w:val="8f5902"/>
      <w:shd w:fill="f8f8f8" w:val="clear"/>
      <w:b/>
      <w:i/>
    </w:rPr>
  </w:style>
  <w:style w:customStyle="1" w:styleId="CommentVarTok" w:type="character">
    <w:name w:val="CommentVarTok"/>
    <w:basedOn w:val="VerbatimChar"/>
    <w:rPr>
      <w:color w:val="8f5902"/>
      <w:shd w:fill="f8f8f8" w:val="clear"/>
      <w:b/>
      <w:i/>
    </w:rPr>
  </w:style>
  <w:style w:customStyle="1" w:styleId="OtherTok" w:type="character">
    <w:name w:val="OtherTok"/>
    <w:basedOn w:val="VerbatimChar"/>
    <w:rPr>
      <w:color w:val="8f5902"/>
      <w:shd w:fill="f8f8f8" w:val="clear"/>
    </w:rPr>
  </w:style>
  <w:style w:customStyle="1" w:styleId="FunctionTok" w:type="character">
    <w:name w:val="FunctionTok"/>
    <w:basedOn w:val="VerbatimChar"/>
    <w:rPr>
      <w:color w:val="000000"/>
      <w:shd w:fill="f8f8f8" w:val="clear"/>
    </w:rPr>
  </w:style>
  <w:style w:customStyle="1" w:styleId="VariableTok" w:type="character">
    <w:name w:val="VariableTok"/>
    <w:basedOn w:val="VerbatimChar"/>
    <w:rPr>
      <w:color w:val="000000"/>
      <w:shd w:fill="f8f8f8" w:val="clear"/>
    </w:rPr>
  </w:style>
  <w:style w:customStyle="1" w:styleId="ControlFlowTok" w:type="character">
    <w:name w:val="ControlFlowTok"/>
    <w:basedOn w:val="VerbatimChar"/>
    <w:rPr>
      <w:color w:val="204a87"/>
      <w:shd w:fill="f8f8f8" w:val="clear"/>
      <w:b/>
    </w:rPr>
  </w:style>
  <w:style w:customStyle="1" w:styleId="OperatorTok" w:type="character">
    <w:name w:val="OperatorTok"/>
    <w:basedOn w:val="VerbatimChar"/>
    <w:rPr>
      <w:color w:val="ce5c00"/>
      <w:shd w:fill="f8f8f8" w:val="clear"/>
      <w:b/>
    </w:rPr>
  </w:style>
  <w:style w:customStyle="1" w:styleId="BuiltInTok" w:type="character">
    <w:name w:val="BuiltInTok"/>
    <w:basedOn w:val="VerbatimChar"/>
    <w:rPr>
      <w:shd w:fill="f8f8f8" w:val="clear"/>
    </w:rPr>
  </w:style>
  <w:style w:customStyle="1" w:styleId="ExtensionTok" w:type="character">
    <w:name w:val="ExtensionTok"/>
    <w:basedOn w:val="VerbatimChar"/>
    <w:rPr>
      <w:shd w:fill="f8f8f8" w:val="clear"/>
    </w:rPr>
  </w:style>
  <w:style w:customStyle="1" w:styleId="PreprocessorTok" w:type="character">
    <w:name w:val="PreprocessorTok"/>
    <w:basedOn w:val="VerbatimChar"/>
    <w:rPr>
      <w:color w:val="8f5902"/>
      <w:shd w:fill="f8f8f8" w:val="clear"/>
      <w:i/>
    </w:rPr>
  </w:style>
  <w:style w:customStyle="1" w:styleId="AttributeTok" w:type="character">
    <w:name w:val="AttributeTok"/>
    <w:basedOn w:val="VerbatimChar"/>
    <w:rPr>
      <w:color w:val="c4a000"/>
      <w:shd w:fill="f8f8f8" w:val="clear"/>
    </w:rPr>
  </w:style>
  <w:style w:customStyle="1" w:styleId="RegionMarkerTok" w:type="character">
    <w:name w:val="RegionMarkerTok"/>
    <w:basedOn w:val="VerbatimChar"/>
    <w:rPr>
      <w:shd w:fill="f8f8f8" w:val="clear"/>
    </w:rPr>
  </w:style>
  <w:style w:customStyle="1" w:styleId="InformationTok" w:type="character">
    <w:name w:val="InformationTok"/>
    <w:basedOn w:val="VerbatimChar"/>
    <w:rPr>
      <w:color w:val="8f5902"/>
      <w:shd w:fill="f8f8f8" w:val="clear"/>
      <w:b/>
      <w:i/>
    </w:rPr>
  </w:style>
  <w:style w:customStyle="1" w:styleId="WarningTok" w:type="character">
    <w:name w:val="WarningTok"/>
    <w:basedOn w:val="VerbatimChar"/>
    <w:rPr>
      <w:color w:val="8f5902"/>
      <w:shd w:fill="f8f8f8" w:val="clear"/>
      <w:b/>
      <w:i/>
    </w:rPr>
  </w:style>
  <w:style w:customStyle="1" w:styleId="AlertTok" w:type="character">
    <w:name w:val="AlertTok"/>
    <w:basedOn w:val="VerbatimChar"/>
    <w:rPr>
      <w:color w:val="ef2929"/>
      <w:shd w:fill="f8f8f8" w:val="clear"/>
    </w:rPr>
  </w:style>
  <w:style w:customStyle="1" w:styleId="ErrorTok" w:type="character">
    <w:name w:val="ErrorTok"/>
    <w:basedOn w:val="VerbatimChar"/>
    <w:rPr>
      <w:color w:val="a40000"/>
      <w:shd w:fill="f8f8f8" w:val="clear"/>
      <w:b/>
    </w:rPr>
  </w:style>
  <w:style w:customStyle="1" w:styleId="NormalTok" w:type="character">
    <w:name w:val="NormalTok"/>
    <w:basedOn w:val="VerbatimChar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1" Target="https://epirhandbook.com/en/reports-with-r-markdown.html" TargetMode="External" /><Relationship Type="http://schemas.openxmlformats.org/officeDocument/2006/relationships/hyperlink" Id="rId23" Target="https://github.com/pbs-assess/csasdown" TargetMode="External" /><Relationship Type="http://schemas.openxmlformats.org/officeDocument/2006/relationships/hyperlink" Id="rId20" Target="https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1" Target="https://epirhandbook.com/en/reports-with-r-markdown.html" TargetMode="External" /><Relationship Type="http://schemas.openxmlformats.org/officeDocument/2006/relationships/hyperlink" Id="rId23" Target="https://github.com/pbs-assess/csasdown" TargetMode="External" /><Relationship Type="http://schemas.openxmlformats.org/officeDocument/2006/relationships/hyperlink" Id="rId20" Target="https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Example of an Automated Report in Word</dc:title>
  <dc:creator/>
  <cp:keywords/>
  <dcterms:created xsi:type="dcterms:W3CDTF">2023-06-04T19:13:26Z</dcterms:created>
  <dcterms:modified xsi:type="dcterms:W3CDTF">2023-06-04T19:13:26Z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04, 2023</vt:lpwstr>
  </property>
  <property fmtid="{D5CDD505-2E9C-101B-9397-08002B2CF9AE}" pid="3" name="output">
    <vt:lpwstr/>
  </property>
</Properties>
</file>