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" w:hAnsi="Noto Sans"/>
          <w:b/>
          <w:i w:val="0"/>
          <w:color w:val="A57618"/>
          <w:sz w:val="20"/>
        </w:rPr>
        <w:t>RESEARCH REPORT</w:t>
      </w:r>
    </w:p>
    <w:p>
      <w:pPr>
        <w:spacing w:after="160"/>
        <w:jc w:val="center"/>
      </w:pPr>
      <w:r>
        <w:rPr>
          <w:rFonts w:ascii="Noto Sans" w:hAnsi="Noto Sans"/>
          <w:b/>
          <w:i w:val="0"/>
          <w:color w:val="17324D"/>
          <w:sz w:val="50"/>
        </w:rPr>
        <w:t>A Natural Flagship Model for</w:t>
        <w:br/>
        <w:t>Tangent-Normal Hölder RL Geometry</w:t>
      </w:r>
    </w:p>
    <w:p>
      <w:pPr>
        <w:spacing w:after="360"/>
        <w:jc w:val="center"/>
      </w:pPr>
      <w:r>
        <w:rPr>
          <w:rFonts w:ascii="Noto Sans" w:hAnsi="Noto Sans"/>
          <w:b w:val="0"/>
          <w:i/>
          <w:color w:val="2E5E88"/>
          <w:sz w:val="26"/>
        </w:rPr>
        <w:t>Maxwellian rate-type thermo-viscoelastic pseudo-creep at a spinodal turning 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0" w:line="288" w:lineRule="auto"/>
            </w:pPr>
            <w:r>
              <w:rPr>
                <w:rFonts w:ascii="Noto Sans" w:hAnsi="Noto Sans"/>
                <w:b/>
                <w:i w:val="0"/>
                <w:color w:val="285C45"/>
                <w:sz w:val="21"/>
              </w:rPr>
              <w:t xml:space="preserve">Verdict  </w:t>
            </w:r>
            <w:r>
              <w:rPr>
                <w:rFonts w:ascii="Noto Sans" w:hAnsi="Noto Sans"/>
                <w:b w:val="0"/>
                <w:i w:val="0"/>
                <w:color w:val="26323D"/>
                <w:sz w:val="21"/>
              </w:rPr>
              <w:t>NARROW BUT REAL. The phenomenon is model-first and perturbation-stable, but the strongest genuine Hölder/PPA result is leafwise and one-sided at a critical constant-stress loading path; it is not a uniform full-tube theorem.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897880" cy="2367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nodal_phase_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67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" w:hAnsi="Noto Sans"/>
          <w:b w:val="0"/>
          <w:i/>
          <w:color w:val="5A6673"/>
          <w:sz w:val="17"/>
        </w:rPr>
        <w:t>Figure 1. The equilibrium isotherm, critical loading leaf, and the rate-sensitivity threshold predicted by the tangent-normal theory.</w:t>
      </w:r>
    </w:p>
    <w:p>
      <w:pPr>
        <w:spacing w:before="400"/>
        <w:jc w:val="center"/>
      </w:pPr>
      <w:r>
        <w:rPr>
          <w:rFonts w:ascii="Noto Sans" w:hAnsi="Noto Sans"/>
          <w:b w:val="0"/>
          <w:i w:val="0"/>
          <w:color w:val="5A6673"/>
          <w:sz w:val="18"/>
        </w:rPr>
        <w:t>Prepared 5 September 2026  |  Mathematical baseline: current RL–regularity/PPA framework</w:t>
      </w:r>
    </w:p>
    <w:p>
      <w:r>
        <w:br w:type="page"/>
      </w:r>
    </w:p>
    <w:p>
      <w:pPr>
        <w:pStyle w:val="Heading1"/>
        <w:keepNext/>
      </w:pPr>
      <w:r>
        <w:t>Executive finding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best natural flagship found is the isothermal constant-stress pseudo-creep process in Făciu’s Maxwellian rate-type thermo-viscoelastic bar model. The model was introduced to describe non-monotone thermoelasticity, solid-solid phase transitions, pseudoelasticity, and shape-memory behavior. Its equilibrium curve, viscosity, and rate-sensitivity exponent are constitutive data; none is chosen to fit RL.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At a nondegenerate spinodal turning point of the equilibrium stress-strain curve, the constant-stress loading line is tangent to the curved equilibrium manifold. That physical tangency converts the material gap into a quadratic geometric distance. For rate sensitivity 0 &lt; ℓ &lt; 1/2, the original F-side operator then has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A(r) ≍ r^ℓ,      B(r) ≍ r^(ℓ+1/2),      B(r) = o(A(r)^2),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so curvature dominates the normal balance. The predicted and independently verified conclusions are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γ* = 1/2,      ψ(t) ≍ t^(1/ℓ),      dₖ₊₁ ~ Cλ dₖ^(1/(2ℓ)),      β = 1/(2ℓ) &gt; 1.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same constitutive family has a natural threshold at ℓ=1/2: below it, the continuous pseudo-creep reaches the spinodal in finite time and PPA is superlinear; at it, continuous convergence is exponential and PPA is Q-linear; above it, both are only algebraic/sublinear. The original material paper states the constitutive law and the ordinary finite-time criterion away from a turning point, but does not formulate this spinodal threshold, the input-nearest anchored reflected geometry, or the proximal phase law.</w:t>
      </w:r>
    </w:p>
    <w:p>
      <w:r>
        <w:br w:type="page"/>
      </w:r>
    </w:p>
    <w:p>
      <w:pPr>
        <w:pStyle w:val="Heading1"/>
        <w:keepNext/>
      </w:pPr>
      <w:r>
        <w:t>1. Candidate audit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search was deliberately adversarial. A candidate was retained only if the zero manifold, non-Lipschitz exponent, tangential-normal coupling, and proximal branch all came from the original model rather than from a retrofit.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200"/>
        <w:gridCol w:w="206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8"/>
              </w:rPr>
              <w:t>Candidate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8"/>
              </w:rPr>
              <w:t>Decisive calculation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Finite-time consensus / singular Kuramoto</w:t>
            </w:r>
          </w:p>
        </w:tc>
        <w:tc>
          <w:tcPr>
            <w:tcW w:type="dxa" w:w="52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Natural non-Lipschitz attraction, but P_TF=0 (undirected) or ||P_TF|| is controlled by ||P_NF|| (directed). No dominant tangent scale.</w:t>
            </w:r>
          </w:p>
        </w:tc>
        <w:tc>
          <w:tcPr>
            <w:tcW w:type="dxa" w:w="2060"/>
          </w:tcPr>
          <w:p>
            <w:r>
              <w:rPr>
                <w:rFonts w:ascii="Noto Sans" w:hAnsi="Noto Sans"/>
                <w:b/>
                <w:i w:val="0"/>
                <w:color w:val="8A2E2E"/>
                <w:sz w:val="17"/>
              </w:rPr>
              <w:t>Reject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Symmetry-induced optimization manifolds</w:t>
            </w:r>
          </w:p>
        </w:tc>
        <w:tc>
          <w:tcPr>
            <w:tcW w:type="dxa" w:w="52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Invariance makes subgradients asymptotically normal. A true proximal minimizer also satisfies ||x−y||≤d(x,S), hence ||R_p||≤3d.</w:t>
            </w:r>
          </w:p>
        </w:tc>
        <w:tc>
          <w:tcPr>
            <w:tcW w:type="dxa" w:w="2060"/>
          </w:tcPr>
          <w:p>
            <w:r>
              <w:rPr>
                <w:rFonts w:ascii="Noto Sans" w:hAnsi="Noto Sans"/>
                <w:b/>
                <w:i w:val="0"/>
                <w:color w:val="8A2E2E"/>
                <w:sz w:val="17"/>
              </w:rPr>
              <w:t>Reject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Normal-cone / active-manifold generalized equations</w:t>
            </w:r>
          </w:p>
        </w:tc>
        <w:tc>
          <w:tcPr>
            <w:tcW w:type="dxa" w:w="52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Normal-cone multipliers compensate ambient chord curvature; prox-regular localizations are Lipschitz. Curvature alone is a false positive.</w:t>
            </w:r>
          </w:p>
        </w:tc>
        <w:tc>
          <w:tcPr>
            <w:tcW w:type="dxa" w:w="2060"/>
          </w:tcPr>
          <w:p>
            <w:r>
              <w:rPr>
                <w:rFonts w:ascii="Noto Sans" w:hAnsi="Noto Sans"/>
                <w:b/>
                <w:i w:val="0"/>
                <w:color w:val="8A2E2E"/>
                <w:sz w:val="17"/>
              </w:rPr>
              <w:t>Reject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Published circular semistability examples</w:t>
            </w:r>
          </w:p>
        </w:tc>
        <w:tc>
          <w:tcPr>
            <w:tcW w:type="dxa" w:w="52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The vector field is explicitly assembled from prescribed radial and circumferential powers. This is exactly the prohibited theorem-testing construction.</w:t>
            </w:r>
          </w:p>
        </w:tc>
        <w:tc>
          <w:tcPr>
            <w:tcW w:type="dxa" w:w="2060"/>
          </w:tcPr>
          <w:p>
            <w:r>
              <w:rPr>
                <w:rFonts w:ascii="Noto Sans" w:hAnsi="Noto Sans"/>
                <w:b/>
                <w:i w:val="0"/>
                <w:color w:val="8A2E2E"/>
                <w:sz w:val="17"/>
              </w:rPr>
              <w:t>Reject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Two-balloon saddle-node with power-law tube flow</w:t>
            </w:r>
          </w:p>
        </w:tc>
        <w:tc>
          <w:tcPr>
            <w:tcW w:type="dxa" w:w="52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Genuinely curved and physically meaningful, but the strongest version combines an equilibrium model from one source with an added rheological law from another.</w:t>
            </w:r>
          </w:p>
        </w:tc>
        <w:tc>
          <w:tcPr>
            <w:tcW w:type="dxa" w:w="2060"/>
          </w:tcPr>
          <w:p>
            <w:r>
              <w:rPr>
                <w:rFonts w:ascii="Noto Sans" w:hAnsi="Noto Sans"/>
                <w:b/>
                <w:i w:val="0"/>
                <w:color w:val="000000"/>
                <w:sz w:val="17"/>
              </w:rPr>
              <w:t>Runner-up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Maxwellian thermo-viscoelastic pseudo-creep</w:t>
            </w:r>
          </w:p>
        </w:tc>
        <w:tc>
          <w:tcPr>
            <w:tcW w:type="dxa" w:w="52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7"/>
              </w:rPr>
              <w:t>The equilibrium curve, constant-stress process, viscosity, and arbitrary rate sensitivity ℓ already coexist in the original constitutive model.</w:t>
            </w:r>
          </w:p>
        </w:tc>
        <w:tc>
          <w:tcPr>
            <w:tcW w:type="dxa" w:w="2060"/>
          </w:tcPr>
          <w:p>
            <w:r>
              <w:rPr>
                <w:rFonts w:ascii="Noto Sans" w:hAnsi="Noto Sans"/>
                <w:b/>
                <w:i w:val="0"/>
                <w:color w:val="285C45"/>
                <w:sz w:val="17"/>
              </w:rPr>
              <w:t>Select</w:t>
            </w:r>
          </w:p>
        </w:tc>
      </w:tr>
    </w:tbl>
    <w:p>
      <w:pPr>
        <w:pStyle w:val="Heading1"/>
        <w:keepNext/>
      </w:pPr>
      <w:r>
        <w:t>2. The original material model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Fix an isothermal temperature θ₀. The material state is y=(ε,σ), with strain ε and stress σ. Let h(ε)=σ_eq(ε,θ₀) be the experimentally/model-defined equilibrium isotherm. Făciu’s Maxwellian rate-type law is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σ̇ − E ε̇ = −(E/μ) |σ−h(ε)|^(ℓ−1) (σ−h(ε)),      E,μ,ℓ&gt;0.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Under a homogeneous constant-stress process σ(t)=σ₀, this reduces to the pseudo-creep equation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ε̇ = μ⁻¹ |σ₀−h(ε)|^(ℓ−1) (σ₀−h(ε)).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operator relevant for backward Euler/PPA is therefore the single-valued, generally nonmonotone map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F(ε,σ) = (−μ⁻¹ φ_ℓ(σ−h(ε)), 0),      φ_ℓ(s)=sign(s)|s|^ℓ,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and the physical evolution is ẏ=−F(y). Its implicit Euler step is exactly the PPA relation x=y+λF(y). The model is non-Lipschitz across equilibrium when 0&lt;ℓ&lt;1.</w:t>
      </w:r>
    </w:p>
    <w:p>
      <w:pPr>
        <w:pStyle w:val="Heading1"/>
        <w:keepNext/>
      </w:pPr>
      <w:r>
        <w:t>3. Solution manifold and curvature from constitutive data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Assume h∈C³ and consider a nondegenerate local minimum (a spinodal turning point) ε*=0 after translation: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h(0)=0,      h′(0)=0,      h″(0)=κ&gt;0,      a₀:=κ/2.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Then the zero set is not imposed externally; it is the material equilibrium isotherm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S=F⁻¹(0)={(ε,h(ε))}.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Since ∇(σ−h(ε))=(−h′(ε),1) never vanishes, S is a C³ embedded curve. At p=(ε,h(ε)),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τ=(1,h′)/√(1+h′²),      ν=(−h′,1)/√(1+h′²),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II_p(τ,τ)=[h″(ε)/(1+h′(ε)²)^(3/2)] ν.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Thus II_{p*}(τ*,τ*)=κν*. Curvature is a directly measurable derivative of the equilibrium stress-strain law.</w:t>
      </w:r>
    </w:p>
    <w:p>
      <w:pPr>
        <w:pStyle w:val="Heading1"/>
        <w:keepNext/>
      </w:pPr>
      <w:r>
        <w:t>4. F-side scale theorem on the critical loading leaf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0" w:line="288" w:lineRule="auto"/>
            </w:pPr>
            <w:r>
              <w:rPr>
                <w:rFonts w:ascii="Noto Sans" w:hAnsi="Noto Sans"/>
                <w:b/>
                <w:i w:val="0"/>
                <w:color w:val="2E5E88"/>
                <w:sz w:val="21"/>
              </w:rPr>
              <w:t xml:space="preserve">Theorem (spinodal pseudo-creep branch)  </w:t>
            </w:r>
            <w:r>
              <w:rPr>
                <w:rFonts w:ascii="Noto Sans" w:hAnsi="Noto Sans"/>
                <w:b w:val="0"/>
                <w:i w:val="0"/>
                <w:color w:val="26323D"/>
                <w:sz w:val="21"/>
              </w:rPr>
              <w:t>Under the assumptions above, restrict only the orbit—not the zero set—to the invariant constant-stress leaf σ=0 and its stable side ε&gt;0. Let y=(t,0), t↓0, q=P_S(y), and r=d(y,S). Then the tangential and normal components of the original material operator satisfy two-sided asymptotic bounds A(r)≍r^ℓ and B(r)≍r^(ℓ+1/2); the minimum residual satisfies d(0,F(y))≍r^ℓ. For every λ&gt;0, a unique small stable PPA branch exists. Its sharp input-nearest anchored exponent and distance dynamics are those stated in Section 6.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Distance and projection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Taylor expansion gives h(t)=a₀t²+O(t³) and h′(t)=κt+O(t²). If q=(s,h(s))=P_S(t,0), the nearest-point equation is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t−s = h(s)h′(s),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so s=t+O(t³). Consequently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r=||(t,0)−q||=a₀t²(1+O(t)).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This quadratic relation is the essential nonisolated geometry. The residual gap is linear in the signed defining function, but distance along the tangent loading leaf is quadratic.</w:t>
      </w:r>
    </w:p>
    <w:p>
      <w:pPr>
        <w:pStyle w:val="Heading2"/>
        <w:keepNext/>
      </w:pPr>
      <w:r>
        <w:t>4.2 Tangential and normal residual scales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On the stable side, σ−h(t)&lt;0 and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F(t,0)=μ⁻¹h(t)^ℓ e₁.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Projecting e₁ onto τ(q) and ν(q), using s=t+O(t³), yields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||P_T(q)F(t,0)|| = μ⁻¹ r^ℓ(1+o(1)),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||P_N(q)F(t,0)|| = μ⁻¹√(2κ) r^(ℓ+1/2)(1+o(1)).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Hence one may take A(r)=r^ℓ and B(r)=r^(ℓ+1/2), with explicit positive two-sided constants on a sufficiently small one-sided neighborhood. No tangential or normal scale has been assumed at the proximal level.</w:t>
      </w:r>
    </w:p>
    <w:p>
      <w:pPr>
        <w:pStyle w:val="Heading2"/>
        <w:keepNext/>
      </w:pPr>
      <w:r>
        <w:t>4.3 Minimum residual and regularity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Because F is single-valued, selected residual and minimum residual coincide. More strongly, throughout a full tubular neighborhood of S, the defining function g(ε,σ)=σ−h(ε) satisfies |g(y)|≍d(y,S). Therefore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d(0,F(y))=μ⁻¹|g(y)|^ℓ ≍ d(y,S)^ℓ,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d(y,S) ≤ C [d(0,F(y))]^(1/ℓ).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Thus the regularity exponent is q=1/ℓ and, asymptotically at p*, the gauge is ψ(s)~(μs)^(1/ℓ). This is a genuine minimum-residual statement, not a selected-branch surrogate.</w:t>
      </w:r>
    </w:p>
    <w:p>
      <w:pPr>
        <w:pStyle w:val="Heading1"/>
        <w:keepNext/>
      </w:pPr>
      <w:r>
        <w:t>5. Curvature/operator phase identification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On the critical stress leaf,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A(r)²≍r^(2ℓ),      B(r)≍r^(ℓ+1/2).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800"/>
        <w:gridCol w:w="1800"/>
        <w:gridCol w:w="2100"/>
        <w:gridCol w:w="261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7"/>
              </w:rPr>
              <w:t>Range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7"/>
              </w:rPr>
              <w:t>Dominant normal scale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7"/>
              </w:rPr>
              <w:t>Sharp γ*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7"/>
              </w:rPr>
              <w:t>PPA distance law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Noto Sans" w:hAnsi="Noto Sans"/>
                <w:b/>
                <w:i w:val="0"/>
                <w:color w:val="17324D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05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0&lt;ℓ&lt;1/2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A²; curvature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1/2</w:t>
            </w:r>
          </w:p>
        </w:tc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Q-order 1/(2ℓ)&gt;1</w:t>
            </w:r>
          </w:p>
        </w:tc>
        <w:tc>
          <w:tcPr>
            <w:tcW w:type="dxa" w:w="261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Finite-time continuous stabilization; superlinear PPA.</w:t>
            </w:r>
          </w:p>
        </w:tc>
      </w:tr>
      <w:tr>
        <w:trPr>
          <w:cantSplit/>
        </w:trPr>
        <w:tc>
          <w:tcPr>
            <w:tcW w:type="dxa" w:w="105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ℓ=1/2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r, B, A² all same order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1/2</w:t>
            </w:r>
          </w:p>
        </w:tc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Q-linear</w:t>
            </w:r>
          </w:p>
        </w:tc>
        <w:tc>
          <w:tcPr>
            <w:tcW w:type="dxa" w:w="261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Critical but reinforcing on the stable side; no resonance.</w:t>
            </w:r>
          </w:p>
        </w:tc>
      </w:tr>
      <w:tr>
        <w:trPr>
          <w:cantSplit/>
        </w:trPr>
        <w:tc>
          <w:tcPr>
            <w:tcW w:type="dxa" w:w="105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1/2&lt;ℓ&lt;1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raw output distance r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ℓ</w:t>
            </w:r>
          </w:p>
        </w:tc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algebraic/sublinear</w:t>
            </w:r>
          </w:p>
        </w:tc>
        <w:tc>
          <w:tcPr>
            <w:tcW w:type="dxa" w:w="261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Genuine Hölder reflected scale survives, but γ*q=1 gives no strict asymptotic contraction.</w:t>
            </w:r>
          </w:p>
        </w:tc>
      </w:tr>
      <w:tr>
        <w:trPr>
          <w:cantSplit/>
        </w:trPr>
        <w:tc>
          <w:tcPr>
            <w:tcW w:type="dxa" w:w="105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ℓ≥1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raw output distance r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10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algebraic or slower</w:t>
            </w:r>
          </w:p>
        </w:tc>
        <w:tc>
          <w:tcPr>
            <w:tcW w:type="dxa" w:w="2610"/>
          </w:tcPr>
          <w:p>
            <w:r>
              <w:rPr>
                <w:rFonts w:ascii="Noto Sans" w:hAnsi="Noto Sans"/>
                <w:b w:val="0"/>
                <w:i w:val="0"/>
                <w:color w:val="000000"/>
                <w:sz w:val="16"/>
              </w:rPr>
              <w:t>No genuine Hölder exponent is needed.</w:t>
            </w:r>
          </w:p>
        </w:tc>
      </w:tr>
    </w:tbl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Honest limitation: this model does not realize the operator-normal-dominated regime. As ℓ increases past 1/2, the raw normal offset r takes over before B can dominate. The constitutive family therefore gives a curvature / three-way critical / identity-dominated diagram, not the complete abstract three-phase diagram.</w:t>
      </w:r>
    </w:p>
    <w:p>
      <w:pPr>
        <w:pStyle w:val="Heading1"/>
        <w:keepNext/>
      </w:pPr>
      <w:r>
        <w:t>6. Theory prediction and independent PPA verification</w:t>
      </w:r>
    </w:p>
    <w:p>
      <w:pPr>
        <w:pStyle w:val="Heading2"/>
        <w:keepNext/>
      </w:pPr>
      <w:r>
        <w:t>6.1 Prediction from tangent-normal theory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For 0&lt;ℓ&lt;1/2, r=o(B(r)) and B(r)=o(A(r)²). The nondegenerate second fundamental form therefore predicts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d(x,S) ≍ A(r)² ≍ r^(2ℓ),      r ≍ d(x,S)^(1/(2ℓ)),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||R_p|| ≍ A(r) ≍ √d(x,S).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Hence γ*=1/2, β=1/(2ℓ), q=1/ℓ, and the compatibility identity is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γ*q = (1/2)(1/ℓ) = 1/(2ℓ) = β.</w:t>
      </w:r>
    </w:p>
    <w:p>
      <w:pPr>
        <w:pStyle w:val="Heading2"/>
        <w:keepNext/>
      </w:pPr>
      <w:r>
        <w:t>6.2 Exact scalar implicit equation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Let x=(ξ,0) and y=(t,0) with ξ,t&gt;0. The original proximal equation preserves stress and reduces to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ξ = t + c₀ t^(2ℓ)(1+O(t)),      c₀=(λ/μ)a₀^ℓ.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right-hand side is strictly increasing for sufficiently small t, so every λ&gt;0 admits a unique stable local branch. No explicit resolvent formula is needed for existence.</w:t>
      </w:r>
    </w:p>
    <w:p>
      <w:pPr>
        <w:pStyle w:val="Heading2"/>
        <w:keepNext/>
      </w:pPr>
      <w:r>
        <w:t>6.3 Curvature-dominated range 0&lt;ℓ&lt;1/2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fractional term dominates t. Inversion gives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t = c₀^(−1/(2ℓ)) ξ^(1/(2ℓ))(1+o(1)).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Since d(x,S)=a₀ξ²(1+o(1)) and d(y,S)=a₀t²(1+o(1)),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d(y,S) ~ [μ²/(a₀λ²)]^(1/(2ℓ)) d(x,S)^(1/(2ℓ)).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This exactly matches the predicted Q-order β=1/(2ℓ). For p=P_S(x), direct projection expansion also gives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||R_p|| ~ 2ξ ~ 2a₀^(−1/2) √d(x,S) = 2√(2/κ) √d(x,S),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which proves sharpness of γ*=1/2. The leading reflected displacement is tangential, as required by the tangential-necessity theorem.</w:t>
      </w:r>
    </w:p>
    <w:p>
      <w:pPr>
        <w:pStyle w:val="Heading2"/>
        <w:keepNext/>
      </w:pPr>
      <w:r>
        <w:t>6.4 Critical and post-critical ranges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At ℓ=1/2,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t/ξ → (1+(λ/μ)√a₀)⁻¹,      d(y,S)/d(x,S) → (1+(λ/μ)√a₀)⁻².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All three normal contributions reinforce on the stable side, so the critical case is nonresonant and Q-linear. For 1/2&lt;ℓ&lt;1,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ξₖ ~ [c₀(2ℓ−1)k]^(−1/(2ℓ−1)),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dₖ ~ a₀[c₀(2ℓ−1)k]^(−2/(2ℓ−1)).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Here ||R_p||≍d^ℓ remains genuinely Hölder, but q=1/ℓ gives γ*q=1; the present RL–regularity mechanism correctly refuses to promise strict contraction. The actual PPA attraction is only sublinear.</w:t>
      </w:r>
    </w:p>
    <w:p>
      <w:pPr>
        <w:pStyle w:val="Heading2"/>
        <w:keepNext/>
      </w:pPr>
      <w:r>
        <w:t>6.5 Finite length and point convergence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Along the stable constant-stress leaf, 0&lt;t_{k+1}&lt;t_k and σ_k is fixed. Therefore the exact total Euclidean length telescopes: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Σₖ ||x^{k+1}−x^k|| = Σₖ (ξₖ−ξₖ₊₁) = ξ₀ &lt; ∞.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Thus every stable-side orbit converges to the specific spinodal point p*, not merely to the set S. In the superlinear range this also follows from the general finite-length theorem, but the physical invariant leaf yields the sharper identity above.</w:t>
      </w:r>
    </w:p>
    <w:p>
      <w:pPr>
        <w:pStyle w:val="Heading1"/>
        <w:keepNext/>
      </w:pPr>
      <w:r>
        <w:t>7. Continuous-time verification and the new threshold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original pseudo-creep ODE on the stable side is</w:t>
      </w:r>
    </w:p>
    <w:p>
      <w:pPr>
        <w:keepLines/>
        <w:spacing w:before="60" w:after="160"/>
        <w:jc w:val="center"/>
      </w:pPr>
      <w:r>
        <w:rPr>
          <w:rFonts w:ascii="DejaVu Sans" w:hAnsi="DejaVu Sans"/>
          <w:b w:val="0"/>
          <w:i w:val="0"/>
          <w:color w:val="000000"/>
          <w:sz w:val="21"/>
        </w:rPr>
        <w:t>ξ̇ = −μ⁻¹a₀^ℓ ξ^(2ℓ)(1+O(ξ)).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Hence the spinodal is reached in finite time exactly when 2ℓ&lt;1, exponentially approached when 2ℓ=1, and algebraically approached when 2ℓ&gt;1. The factor two is geometric: the equilibrium gap along a tangent loading line is quadratic in the strain coordinate.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0" w:line="288" w:lineRule="auto"/>
            </w:pPr>
            <w:r>
              <w:rPr>
                <w:rFonts w:ascii="Noto Sans" w:hAnsi="Noto Sans"/>
                <w:b/>
                <w:i w:val="0"/>
                <w:color w:val="285C45"/>
                <w:sz w:val="21"/>
              </w:rPr>
              <w:t xml:space="preserve">Model-level prediction  </w:t>
            </w:r>
            <w:r>
              <w:rPr>
                <w:rFonts w:ascii="Noto Sans" w:hAnsi="Noto Sans"/>
                <w:b w:val="0"/>
                <w:i w:val="0"/>
                <w:color w:val="26323D"/>
                <w:sz w:val="21"/>
              </w:rPr>
              <w:t>The same threshold ℓ=1/2 separates superlinear, linear, and sublinear implicit-Euler/PPA dynamics. This is the central value added by the tangent-normal theory: it identifies the geometric reason that the generic rate-sensitivity threshold changes at a spinodal.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Scope, prior art, and novelty discipline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What is established by the source literature. Făciu formulates the Maxwellian rate-type constitutive equation, identifies its equilibrium surface, introduces the arbitrary positive rate-sensitivity parameter ℓ and viscosity μ, derives the constant-stress pseudo-creep equation, and relates stability to the slope of the equilibrium isotherm. The chapter also records finite-time relaxation for 0&lt;ℓ&lt;1 in the nondegenerate constant-strain setting.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What this report adds. The spinodal tangent loading analysis; the F-side scales A(r) and B(r); the second-fundamental-form interpretation; the sharp input-nearest anchored exponent γ*=1/2 for ℓ≤1/2; the exact PPA order and constant for ℓ&lt;1/2; the critical linear factor; and the algebraic post-critical rate are not statements found in the cited material source. A targeted search found no paper combining this pseudo-creep model with resolvent/PPA or RL geometry. That search is evidence, not a formal claim of priority.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The semistability literature supplies general finite-length and convergence concepts for continua of equilibria, but does not state the proximal curvature balance used here. Conversely, standard prox-regular optimization theory often yields locally Lipschitz proximal mappings; that mechanism cannot explain this non-Lipschitz constitutive branch.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0" w:line="288" w:lineRule="auto"/>
            </w:pPr>
            <w:r>
              <w:rPr>
                <w:rFonts w:ascii="Noto Sans" w:hAnsi="Noto Sans"/>
                <w:b/>
                <w:i w:val="0"/>
                <w:color w:val="8A2E2E"/>
                <w:sz w:val="21"/>
              </w:rPr>
              <w:t xml:space="preserve">Scope controls  </w:t>
            </w:r>
            <w:r>
              <w:rPr>
                <w:rFonts w:ascii="Noto Sans" w:hAnsi="Noto Sans"/>
                <w:b w:val="0"/>
                <w:i w:val="0"/>
                <w:color w:val="26323D"/>
                <w:sz w:val="21"/>
              </w:rPr>
              <w:t>The Euclidean metric must be fixed after nondimensionalizing stress and strain; numerical curvature constants are otherwise coordinate-dependent. The full nearby resolvent need not be single-valued: the theorem selects the invariant stable half-leaf branch and does not cover arbitrary selections. Fixed-step PPA approaches the spinodal but does not terminate there in finitely many iterations. Finally, the source model permits ℓ&gt;0, but this report does not claim that ℓ&lt;1/2 has been experimentally identified for a particular alloy.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Final verdict and manuscript recommendation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0" w:line="288" w:lineRule="auto"/>
            </w:pPr>
            <w:r>
              <w:rPr>
                <w:rFonts w:ascii="Noto Sans" w:hAnsi="Noto Sans"/>
                <w:b/>
                <w:i w:val="0"/>
                <w:color w:val="285C45"/>
                <w:sz w:val="21"/>
              </w:rPr>
              <w:t xml:space="preserve">Final verdict  </w:t>
            </w:r>
            <w:r>
              <w:rPr>
                <w:rFonts w:ascii="Noto Sans" w:hAnsi="Noto Sans"/>
                <w:b w:val="0"/>
                <w:i w:val="0"/>
                <w:color w:val="26323D"/>
                <w:sz w:val="21"/>
              </w:rPr>
              <w:t>YES, with a precise qualification: the tangent-normal/curvature mechanism is not an artifact of a triangular toy operator. It occurs naturally in a constitutive model with independent thermomechanical motivation. However, the strongest result is a one-sided, invariant-loading-leaf theorem at a spinodal, so the correct label is NARROW BUT REAL rather than a full-tube robust application theory.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Manuscript placement: put the model in the main text as the flagship application, immediately after the tangent-normal scale theorem and curvature phase diagram. Keep the full projection expansions and asymptotic constants in an appendix. The candidate audit should be compressed to one paragraph or a short appendix table; its purpose is to show that curved zero sets alone do not suffice.</w:t>
      </w:r>
    </w:p>
    <w:p>
      <w:pPr>
        <w:spacing w:before="0" w:after="120" w:line="300" w:lineRule="auto"/>
      </w:pPr>
      <w:r>
        <w:rPr>
          <w:rFonts w:ascii="Noto Sans" w:hAnsi="Noto Sans"/>
          <w:b w:val="0"/>
          <w:i w:val="0"/>
          <w:color w:val="000000"/>
          <w:sz w:val="22"/>
        </w:rPr>
        <w:t>Recommended theorem title: “Spinodal pseudo-creep: curvature-generated Hölder reflected geometry and a rate-sensitivity phase transition.”</w:t>
      </w:r>
    </w:p>
    <w:p>
      <w:pPr>
        <w:pStyle w:val="Heading1"/>
        <w:keepNext/>
      </w:pPr>
      <w:r>
        <w:t>10. Reference links</w:t>
      </w:r>
    </w:p>
    <w:p>
      <w:pPr>
        <w:spacing w:after="100"/>
        <w:ind w:left="360" w:hanging="360"/>
      </w:pPr>
      <w:r>
        <w:rPr>
          <w:rFonts w:ascii="Noto Sans" w:hAnsi="Noto Sans"/>
          <w:b/>
          <w:i w:val="0"/>
          <w:color w:val="17324D"/>
          <w:sz w:val="18"/>
        </w:rPr>
        <w:t xml:space="preserve">1. </w:t>
      </w:r>
      <w:hyperlink r:id="rId12">
        <w:r>
          <w:rPr>
            <w:color w:val="2E5E88"/>
            <w:u w:val="single"/>
          </w:rPr>
          <w:t>C. Făciu, Maxwellian Rate-Type Thermo-viscoelastic Bar Theory: An Approach to Non-monotone Thermoelasticity (primary model source).</w:t>
        </w:r>
      </w:hyperlink>
    </w:p>
    <w:p>
      <w:pPr>
        <w:spacing w:after="100"/>
        <w:ind w:left="360" w:hanging="360"/>
      </w:pPr>
      <w:r>
        <w:rPr>
          <w:rFonts w:ascii="Noto Sans" w:hAnsi="Noto Sans"/>
          <w:b/>
          <w:i w:val="0"/>
          <w:color w:val="17324D"/>
          <w:sz w:val="18"/>
        </w:rPr>
        <w:t xml:space="preserve">2. </w:t>
      </w:r>
      <w:hyperlink r:id="rId13">
        <w:r>
          <w:rPr>
            <w:color w:val="2E5E88"/>
            <w:u w:val="single"/>
          </w:rPr>
          <w:t>S. P. Bhat and D. S. Bernstein, Arc-length-based Lyapunov tests for convergence and stability with applications to systems having a continuum of equilibria.</w:t>
        </w:r>
      </w:hyperlink>
    </w:p>
    <w:p>
      <w:pPr>
        <w:spacing w:after="100"/>
        <w:ind w:left="360" w:hanging="360"/>
      </w:pPr>
      <w:r>
        <w:rPr>
          <w:rFonts w:ascii="Noto Sans" w:hAnsi="Noto Sans"/>
          <w:b/>
          <w:i w:val="0"/>
          <w:color w:val="17324D"/>
          <w:sz w:val="18"/>
        </w:rPr>
        <w:t xml:space="preserve">3. </w:t>
      </w:r>
      <w:hyperlink r:id="rId14">
        <w:r>
          <w:rPr>
            <w:color w:val="2E5E88"/>
            <w:u w:val="single"/>
          </w:rPr>
          <w:t>Q. Hui, W. M. Haddad, and S. P. Bhat, Finite-time semistability and consensus.</w:t>
        </w:r>
      </w:hyperlink>
    </w:p>
    <w:p>
      <w:pPr>
        <w:spacing w:after="100"/>
        <w:ind w:left="360" w:hanging="360"/>
      </w:pPr>
      <w:r>
        <w:rPr>
          <w:rFonts w:ascii="Noto Sans" w:hAnsi="Noto Sans"/>
          <w:b/>
          <w:i w:val="0"/>
          <w:color w:val="17324D"/>
          <w:sz w:val="18"/>
        </w:rPr>
        <w:t xml:space="preserve">4. </w:t>
      </w:r>
      <w:hyperlink r:id="rId15">
        <w:r>
          <w:rPr>
            <w:color w:val="2E5E88"/>
            <w:u w:val="single"/>
          </w:rPr>
          <w:t>S.-Y. Park, D. Poyato, and J. Soler, Filippov trajectories and clustering in the Kuramoto model with singular couplings.</w:t>
        </w:r>
      </w:hyperlink>
    </w:p>
    <w:p>
      <w:pPr>
        <w:spacing w:after="100"/>
        <w:ind w:left="360" w:hanging="360"/>
      </w:pPr>
      <w:r>
        <w:rPr>
          <w:rFonts w:ascii="Noto Sans" w:hAnsi="Noto Sans"/>
          <w:b/>
          <w:i w:val="0"/>
          <w:color w:val="17324D"/>
          <w:sz w:val="18"/>
        </w:rPr>
        <w:t xml:space="preserve">5. </w:t>
      </w:r>
      <w:hyperlink r:id="rId16">
        <w:r>
          <w:rPr>
            <w:color w:val="2E5E88"/>
            <w:u w:val="single"/>
          </w:rPr>
          <w:t>A. Sarlette and R. Sepulchre, Consensus optimization on manifolds.</w:t>
        </w:r>
      </w:hyperlink>
    </w:p>
    <w:p>
      <w:pPr>
        <w:spacing w:after="100"/>
        <w:ind w:left="360" w:hanging="360"/>
      </w:pPr>
      <w:r>
        <w:rPr>
          <w:rFonts w:ascii="Noto Sans" w:hAnsi="Noto Sans"/>
          <w:b/>
          <w:i w:val="0"/>
          <w:color w:val="17324D"/>
          <w:sz w:val="18"/>
        </w:rPr>
        <w:t xml:space="preserve">6. </w:t>
      </w:r>
      <w:hyperlink r:id="rId17">
        <w:r>
          <w:rPr>
            <w:color w:val="2E5E88"/>
            <w:u w:val="single"/>
          </w:rPr>
          <w:t>R. A. Poliquin and R. T. Rockafellar, Prox-regular functions in variational analysis.</w:t>
        </w:r>
      </w:hyperlink>
    </w:p>
    <w:p>
      <w:pPr>
        <w:spacing w:after="100"/>
        <w:ind w:left="360" w:hanging="360"/>
      </w:pPr>
      <w:r>
        <w:rPr>
          <w:rFonts w:ascii="Noto Sans" w:hAnsi="Noto Sans"/>
          <w:b/>
          <w:i w:val="0"/>
          <w:color w:val="17324D"/>
          <w:sz w:val="18"/>
        </w:rPr>
        <w:t xml:space="preserve">7. </w:t>
      </w:r>
      <w:hyperlink r:id="rId18">
        <w:r>
          <w:rPr>
            <w:color w:val="2E5E88"/>
            <w:u w:val="single"/>
          </w:rPr>
          <w:t>V. Charisopoulos et al., Low-rank matrix recovery with composite optimization: good conditioning and rapid convergence.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b w:val="0"/>
        <w:i w:val="0"/>
        <w:color w:val="5A6673"/>
        <w:sz w:val="16"/>
      </w:rPr>
      <w:t>Tangent-normal geometry near a material spinodal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" w:hAnsi="Noto Sans"/>
        <w:b/>
        <w:i w:val="0"/>
        <w:color w:val="5A6673"/>
        <w:sz w:val="17"/>
      </w:rPr>
      <w:t>RL USABILITY RESEARCH  /  FLAGSHIP MODEL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/>
      <w:b/>
      <w:bCs/>
      <w:color w:val="2E5E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/>
      <w:b/>
      <w:bCs/>
      <w:color w:val="2E5E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mar.ro/~cfaciu/articles/2014_Maxwellian%20Rate-Type%20Thermo-viscoelastic%20Bar%20Theory.pdf" TargetMode="External"/><Relationship Id="rId13" Type="http://schemas.openxmlformats.org/officeDocument/2006/relationships/hyperlink" Target="https://link.springer.com/article/10.1007/s00498-010-0054-3" TargetMode="External"/><Relationship Id="rId14" Type="http://schemas.openxmlformats.org/officeDocument/2006/relationships/hyperlink" Target="https://haddad.gatech.edu/journal/FTSS_Consensus_IEEE.pdf" TargetMode="External"/><Relationship Id="rId15" Type="http://schemas.openxmlformats.org/officeDocument/2006/relationships/hyperlink" Target="https://arxiv.org/html/1809.04307v1" TargetMode="External"/><Relationship Id="rId16" Type="http://schemas.openxmlformats.org/officeDocument/2006/relationships/hyperlink" Target="https://arxiv.org/html/0811.4275v1" TargetMode="External"/><Relationship Id="rId17" Type="http://schemas.openxmlformats.org/officeDocument/2006/relationships/hyperlink" Target="https://sites.math.washington.edu/~rtr/papers/rtr157-ProxRegular.pdf" TargetMode="External"/><Relationship Id="rId18" Type="http://schemas.openxmlformats.org/officeDocument/2006/relationships/hyperlink" Target="https://arxiv.org/html/1904.10020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Natural Flagship Model for Tangent-Normal Hölder RL Geometry</dc:title>
  <dc:subject>Maxwellian pseudo-creep at a spinodal turning point</dc:subject>
  <dc:creator>OpenAI</dc:creator>
  <cp:keywords>RL, proximal point, Hölder geometry, spinodal, viscoelasticity, semistability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