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750"/>
        <w:gridCol w:w="7610"/>
      </w:tblGrid>
      <w:tr>
        <w:tc>
          <w:tcPr>
            <w:tcW w:type="dxa" w:w="1750"/>
            <w:tcMar>
              <w:top w:type="dxa" w:w="58"/>
              <w:left w:type="dxa" w:w="92"/>
              <w:bottom w:type="dxa" w:w="58"/>
              <w:right w:type="dxa" w:w="92"/>
            </w:tcMar>
          </w:tcPr>
          <w:p>
            <w:r>
              <w:drawing>
                <wp:inline distT="0" distB="0" distL="0" distR="0">
                  <wp:extent cx="8001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0100" cy="514350"/>
                          </a:xfrm>
                          <a:prstGeom prst="rect">
                            <a:avLst/>
                          </a:prstGeom>
                        </pic:spPr>
                      </pic:pic>
                    </a:graphicData>
                  </a:graphic>
                </wp:inline>
              </w:drawing>
            </w:r>
          </w:p>
        </w:tc>
        <w:tc>
          <w:tcPr>
            <w:tcW w:type="dxa" w:w="7610"/>
            <w:tcMar>
              <w:top w:type="dxa" w:w="58"/>
              <w:left w:type="dxa" w:w="92"/>
              <w:bottom w:type="dxa" w:w="58"/>
              <w:right w:type="dxa" w:w="92"/>
            </w:tcMar>
          </w:tcPr>
          <w:p>
            <w:pPr>
              <w:spacing w:after="33" w:before="0" w:line="245"/>
            </w:pPr>
            <w:r>
              <w:rPr>
                <w:rFonts w:ascii="Avenir" w:cs="Avenir" w:eastAsia="Avenir" w:hAnsi="Avenir"/>
                <w:b w:val="false"/>
                <w:bCs w:val="false"/>
                <w:i w:val="false"/>
                <w:iCs w:val="false"/>
                <w:caps w:val="false"/>
                <w:color w:val="878787"/>
                <w:sz w:val="15"/>
                <w:szCs w:val="15"/>
              </w:rPr>
              <w:t xml:space="preserve">Agence Nationale du Service Universel des Télécommunications / TIC</w:t>
            </w:r>
          </w:p>
          <w:p>
            <w:pPr>
              <w:spacing w:after="0" w:before="0" w:line="245"/>
            </w:pPr>
            <w:r>
              <w:rPr>
                <w:rFonts w:ascii="Avenir" w:cs="Avenir" w:eastAsia="Avenir" w:hAnsi="Avenir"/>
                <w:b/>
                <w:bCs/>
                <w:i w:val="false"/>
                <w:iCs w:val="false"/>
                <w:caps/>
                <w:color w:val="F08224"/>
                <w:spacing w:val="28"/>
                <w:sz w:val="15"/>
                <w:szCs w:val="15"/>
              </w:rPr>
              <w:t xml:space="preserve">Cahier des charges — module d'éligibilité</w:t>
            </w:r>
          </w:p>
        </w:tc>
      </w:tr>
    </w:tbl>
    <w:p>
      <w:pPr>
        <w:spacing w:after="45" w:before="235"/>
      </w:pPr>
      <w:r>
        <w:rPr>
          <w:rFonts w:ascii="Avenir" w:cs="Avenir" w:eastAsia="Avenir" w:hAnsi="Avenir"/>
          <w:b/>
          <w:bCs/>
          <w:color w:val="2256A3"/>
          <w:sz w:val="27"/>
          <w:szCs w:val="27"/>
        </w:rPr>
        <w:t xml:space="preserve">Programme PASS — Le moteur d'éligibilité</w:t>
      </w:r>
    </w:p>
    <w:p>
      <w:pPr>
        <w:spacing w:after="150" w:before="0" w:line="245"/>
      </w:pPr>
      <w:r>
        <w:rPr>
          <w:rFonts w:ascii="Avenir" w:cs="Avenir" w:eastAsia="Avenir" w:hAnsi="Avenir"/>
          <w:b w:val="false"/>
          <w:bCs w:val="false"/>
          <w:i w:val="false"/>
          <w:iCs w:val="false"/>
          <w:caps w:val="false"/>
          <w:color w:val="878787"/>
          <w:sz w:val="17"/>
          <w:szCs w:val="17"/>
        </w:rPr>
        <w:t xml:space="preserve">Spécification fonctionnelle à l'attention de l'éditeur de la plateforme</w:t>
      </w:r>
    </w:p>
    <w:p>
      <w:pPr>
        <w:spacing w:after="80" w:before="0" w:line="245"/>
      </w:pPr>
      <w:r>
        <w:rPr>
          <w:rFonts w:ascii="Avenir" w:cs="Avenir" w:eastAsia="Avenir" w:hAnsi="Avenir"/>
          <w:b/>
          <w:bCs/>
          <w:i w:val="false"/>
          <w:iCs w:val="false"/>
          <w:color w:val="B3261E"/>
          <w:sz w:val="18"/>
          <w:szCs w:val="18"/>
        </w:rPr>
        <w:t xml:space="preserve">Note de version. </w:t>
      </w:r>
      <w:r>
        <w:rPr>
          <w:rFonts w:ascii="Avenir" w:hAnsi="Avenir"/>
          <w:b w:val="0"/>
          <w:sz w:val="18"/>
        </w:rPr>
        <w:t>Version 3.0 · 20 août 2026 — évolutions majeures : la section 3 est refondue pour intégrer la doctrine de ciblage arrêtée (compendium v6.2). Les six vérifications deviennent des contrôles de régularité, strictement séparés du nouveau score individuel à cinq dimensions (§ 3.2). Le résultat n'est plus un verdict binaire mais un rang de priorité P1 à P4 (§ 3.3). Le profil d'usage déclaratif est spécifié avec son exigence de séparation des bases (§ 3.4). La date de dernière activité du terminal devient une donnée requise (§ 4.3). Les évolutions de la version 2.0 restent acquises.</w:t>
      </w:r>
    </w:p>
    <w:p>
      <w:pPr>
        <w:spacing w:after="80" w:before="0" w:line="245"/>
      </w:pPr>
      <w:r>
        <w:rPr>
          <w:rFonts w:ascii="Avenir" w:cs="Avenir" w:eastAsia="Avenir" w:hAnsi="Avenir"/>
          <w:b/>
          <w:bCs/>
          <w:i w:val="false"/>
          <w:iCs w:val="false"/>
          <w:color w:val="B3261E"/>
          <w:sz w:val="18"/>
          <w:szCs w:val="18"/>
        </w:rPr>
        <w:t xml:space="preserve">Principe de conception, à respecter avant tout autre. </w:t>
      </w:r>
      <w:r>
        <w:rPr>
          <w:rFonts w:ascii="Avenir" w:cs="Avenir" w:eastAsia="Avenir" w:hAnsi="Avenir"/>
          <w:b w:val="false"/>
          <w:bCs w:val="false"/>
          <w:i w:val="false"/>
          <w:iCs w:val="false"/>
          <w:color w:val="1D1D1B"/>
          <w:sz w:val="18"/>
          <w:szCs w:val="18"/>
        </w:rPr>
        <w:t xml:space="preserve">Une part des règles de ce programme n'est pas encore arrêtée : la base d'identification des bénéficiaires, les seuils individuels, les poids du score. Ces éléments doivent être des paramètres administrables, jamais des valeurs inscrites dans le code. Un changement de seuil ou de pondération doit se faire par configuration, sans redéploiement. C'est la condition pour que la plateforme survive aux arbitrages à venir.</w:t>
      </w:r>
    </w:p>
    <w:p>
      <w:pPr>
        <w:pBdr>
          <w:bottom w:val="single" w:color="2256A3" w:sz="10" w:space="5"/>
        </w:pBdr>
        <w:spacing w:after="100" w:before="215"/>
      </w:pPr>
      <w:r>
        <w:rPr>
          <w:rFonts w:ascii="Avenir" w:cs="Avenir" w:eastAsia="Avenir" w:hAnsi="Avenir"/>
          <w:b/>
          <w:bCs/>
          <w:color w:val="F08224"/>
          <w:sz w:val="19"/>
          <w:szCs w:val="19"/>
        </w:rPr>
        <w:t xml:space="preserve">1   </w:t>
      </w:r>
      <w:r>
        <w:rPr>
          <w:rFonts w:ascii="Avenir" w:cs="Avenir" w:eastAsia="Avenir" w:hAnsi="Avenir"/>
          <w:b/>
          <w:bCs/>
          <w:color w:val="2256A3"/>
          <w:sz w:val="19"/>
          <w:szCs w:val="19"/>
        </w:rPr>
        <w:t xml:space="preserve">Objet du module</w:t>
      </w:r>
    </w:p>
    <w:p>
      <w:pPr>
        <w:spacing w:after="80" w:before="0" w:line="245"/>
      </w:pPr>
      <w:r>
        <w:rPr>
          <w:rFonts w:ascii="Avenir" w:cs="Avenir" w:eastAsia="Avenir" w:hAnsi="Avenir"/>
          <w:b w:val="false"/>
          <w:bCs w:val="false"/>
          <w:i w:val="false"/>
          <w:iCs w:val="false"/>
          <w:caps w:val="false"/>
          <w:color w:val="1D1D1B"/>
          <w:sz w:val="18"/>
          <w:szCs w:val="18"/>
        </w:rPr>
        <w:t xml:space="preserve">Le moteur d'éligibilité détermine, pour toute demande soumise, si le demandeur peut recevoir un terminal. Il produit une décision motivée, traçable et reproductible.</w:t>
      </w:r>
    </w:p>
    <w:p>
      <w:pPr>
        <w:spacing w:after="80" w:before="0" w:line="245"/>
      </w:pPr>
      <w:r>
        <w:rPr>
          <w:rFonts w:ascii="Avenir" w:cs="Avenir" w:eastAsia="Avenir" w:hAnsi="Avenir"/>
          <w:b w:val="false"/>
          <w:bCs w:val="false"/>
          <w:i w:val="false"/>
          <w:iCs w:val="false"/>
          <w:caps w:val="false"/>
          <w:color w:val="1D1D1B"/>
          <w:sz w:val="18"/>
          <w:szCs w:val="18"/>
        </w:rPr>
        <w:t xml:space="preserve">Il intervient en deux temps distincts, qui ne se confondent pas :</w:t>
      </w:r>
    </w:p>
    <w:tbl>
      <w:tblPr>
        <w:tblW w:type="dxa" w:w="9360"/>
        <w:tblBorders>
          <w:top w:val="none" w:color="FFFFFF" w:sz="0"/>
          <w:left w:val="none" w:color="FFFFFF" w:sz="0"/>
          <w:bottom w:val="none" w:color="FFFFFF" w:sz="0"/>
          <w:right w:val="none" w:color="FFFFFF" w:sz="0"/>
          <w:insideH w:val="single" w:color="E0E0DE" w:sz="4"/>
          <w:insideV w:val="none" w:color="FFFFFF" w:sz="0"/>
        </w:tblBorders>
      </w:tblPr>
      <w:tblGrid>
        <w:gridCol w:w="2400"/>
        <w:gridCol w:w="4600"/>
        <w:gridCol w:w="2360"/>
      </w:tblGrid>
      <w:tr>
        <w:tc>
          <w:tcPr>
            <w:tcW w:type="dxa" w:w="24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Temps</w:t>
            </w:r>
          </w:p>
        </w:tc>
        <w:tc>
          <w:tcPr>
            <w:tcW w:type="dxa" w:w="46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Objet</w:t>
            </w:r>
          </w:p>
        </w:tc>
        <w:tc>
          <w:tcPr>
            <w:tcW w:type="dxa" w:w="236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Périodicité</w:t>
            </w:r>
          </w:p>
        </w:tc>
      </w:tr>
      <w:tr>
        <w:tc>
          <w:tcPr>
            <w:tcW w:type="dxa" w:w="24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Ciblage géographique</w:t>
            </w:r>
          </w:p>
        </w:tc>
        <w:tc>
          <w:tcPr>
            <w:tcW w:type="dxa" w:w="46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Détermine les localités ouvertes et le quota de chacune</w:t>
            </w:r>
          </w:p>
        </w:tc>
        <w:tc>
          <w:tcPr>
            <w:tcW w:type="dxa" w:w="23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Par campagne — traitement par lot</w:t>
            </w:r>
          </w:p>
        </w:tc>
      </w:tr>
      <w:tr>
        <w:tc>
          <w:tcPr>
            <w:tcW w:type="dxa" w:w="24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Ciblage individuel</w:t>
            </w:r>
          </w:p>
        </w:tc>
        <w:tc>
          <w:tcPr>
            <w:tcW w:type="dxa" w:w="46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Détermine si un demandeur donné est éligible dans une localité ouverte</w:t>
            </w:r>
          </w:p>
        </w:tc>
        <w:tc>
          <w:tcPr>
            <w:tcW w:type="dxa" w:w="23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À chaque demande — temps réel</w:t>
            </w:r>
          </w:p>
        </w:tc>
      </w:tr>
    </w:tbl>
    <w:p>
      <w:pPr>
        <w:spacing w:after="80" w:before="0" w:line="245"/>
      </w:pPr>
      <w:r>
        <w:rPr>
          <w:rFonts w:ascii="Avenir" w:cs="Avenir" w:eastAsia="Avenir" w:hAnsi="Avenir"/>
          <w:b/>
          <w:bCs/>
          <w:i w:val="false"/>
          <w:iCs w:val="false"/>
          <w:color w:val="2256A3"/>
          <w:sz w:val="18"/>
          <w:szCs w:val="18"/>
        </w:rPr>
        <w:t xml:space="preserve">Conséquence d'architecture. </w:t>
      </w:r>
      <w:r>
        <w:rPr>
          <w:rFonts w:ascii="Avenir" w:cs="Avenir" w:eastAsia="Avenir" w:hAnsi="Avenir"/>
          <w:b w:val="false"/>
          <w:bCs w:val="false"/>
          <w:i w:val="false"/>
          <w:iCs w:val="false"/>
          <w:color w:val="1D1D1B"/>
          <w:sz w:val="18"/>
          <w:szCs w:val="18"/>
        </w:rPr>
        <w:t xml:space="preserve">Le ciblage géographique est un traitement administratif préalable, exécuté hors ligne et validé avant ouverture de campagne. Le ciblage individuel est un service transactionnel appelé au guichet. Les deux ne partagent que le référentiel des localités.</w:t>
      </w:r>
    </w:p>
    <w:p>
      <w:pPr>
        <w:pBdr>
          <w:bottom w:val="single" w:color="2256A3" w:sz="10" w:space="5"/>
        </w:pBdr>
        <w:spacing w:after="100" w:before="215"/>
      </w:pPr>
      <w:r>
        <w:rPr>
          <w:rFonts w:ascii="Avenir" w:cs="Avenir" w:eastAsia="Avenir" w:hAnsi="Avenir"/>
          <w:b/>
          <w:bCs/>
          <w:color w:val="F08224"/>
          <w:sz w:val="19"/>
          <w:szCs w:val="19"/>
        </w:rPr>
        <w:t xml:space="preserve">2   </w:t>
      </w:r>
      <w:r>
        <w:rPr>
          <w:rFonts w:ascii="Avenir" w:cs="Avenir" w:eastAsia="Avenir" w:hAnsi="Avenir"/>
          <w:b/>
          <w:bCs/>
          <w:color w:val="2256A3"/>
          <w:sz w:val="19"/>
          <w:szCs w:val="19"/>
        </w:rPr>
        <w:t xml:space="preserve">Ciblage géographique</w:t>
      </w:r>
    </w:p>
    <w:p>
      <w:pPr>
        <w:spacing w:after="75" w:before="170"/>
      </w:pPr>
      <w:r>
        <w:rPr>
          <w:rFonts w:ascii="Avenir" w:cs="Avenir" w:eastAsia="Avenir" w:hAnsi="Avenir"/>
          <w:b/>
          <w:bCs/>
          <w:color w:val="2256A3"/>
          <w:sz w:val="17"/>
          <w:szCs w:val="17"/>
        </w:rPr>
        <w:t xml:space="preserve">2.1  Référentiel des localités</w:t>
      </w:r>
    </w:p>
    <w:p>
      <w:pPr>
        <w:spacing w:after="80" w:before="0" w:line="245"/>
      </w:pPr>
      <w:r>
        <w:rPr>
          <w:rFonts w:ascii="Avenir" w:cs="Avenir" w:eastAsia="Avenir" w:hAnsi="Avenir"/>
          <w:b w:val="false"/>
          <w:bCs w:val="false"/>
          <w:i w:val="false"/>
          <w:iCs w:val="false"/>
          <w:caps w:val="false"/>
          <w:color w:val="1D1D1B"/>
          <w:sz w:val="18"/>
          <w:szCs w:val="18"/>
        </w:rPr>
        <w:t xml:space="preserve">La table de référence comporte l'ensemble des localités du pays, avec pour chacune :</w:t>
      </w:r>
    </w:p>
    <w:tbl>
      <w:tblPr>
        <w:tblW w:type="dxa" w:w="9360"/>
        <w:tblBorders>
          <w:top w:val="none" w:color="FFFFFF" w:sz="0"/>
          <w:left w:val="none" w:color="FFFFFF" w:sz="0"/>
          <w:bottom w:val="none" w:color="FFFFFF" w:sz="0"/>
          <w:right w:val="none" w:color="FFFFFF" w:sz="0"/>
          <w:insideH w:val="single" w:color="E0E0DE" w:sz="4"/>
          <w:insideV w:val="none" w:color="FFFFFF" w:sz="0"/>
        </w:tblBorders>
      </w:tblPr>
      <w:tblGrid>
        <w:gridCol w:w="3000"/>
        <w:gridCol w:w="1200"/>
        <w:gridCol w:w="2400"/>
        <w:gridCol w:w="2760"/>
      </w:tblGrid>
      <w:tr>
        <w:tc>
          <w:tcPr>
            <w:tcW w:type="dxa" w:w="30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Champ</w:t>
            </w:r>
          </w:p>
        </w:tc>
        <w:tc>
          <w:tcPr>
            <w:tcW w:type="dxa" w:w="12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Type</w:t>
            </w:r>
          </w:p>
        </w:tc>
        <w:tc>
          <w:tcPr>
            <w:tcW w:type="dxa" w:w="24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Source</w:t>
            </w:r>
          </w:p>
        </w:tc>
        <w:tc>
          <w:tcPr>
            <w:tcW w:type="dxa" w:w="276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Usage</w:t>
            </w:r>
          </w:p>
        </w:tc>
      </w:tr>
      <w:tr>
        <w:tc>
          <w:tcPr>
            <w:tcW w:type="dxa" w:w="30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identifiant_localite</w:t>
            </w:r>
          </w:p>
        </w:tc>
        <w:tc>
          <w:tcPr>
            <w:tcW w:type="dxa" w:w="12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clé</w:t>
            </w:r>
          </w:p>
        </w:tc>
        <w:tc>
          <w:tcPr>
            <w:tcW w:type="dxa" w:w="2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Référentiel national</w:t>
            </w:r>
          </w:p>
        </w:tc>
        <w:tc>
          <w:tcPr>
            <w:tcW w:type="dxa" w:w="27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Clé primaire</w:t>
            </w:r>
          </w:p>
        </w:tc>
      </w:tr>
      <w:tr>
        <w:tc>
          <w:tcPr>
            <w:tcW w:type="dxa" w:w="30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nom, region, departement, sous_prefecture</w:t>
            </w:r>
          </w:p>
        </w:tc>
        <w:tc>
          <w:tcPr>
            <w:tcW w:type="dxa" w:w="12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texte</w:t>
            </w:r>
          </w:p>
        </w:tc>
        <w:tc>
          <w:tcPr>
            <w:tcW w:type="dxa" w:w="24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Référentiel national</w:t>
            </w:r>
          </w:p>
        </w:tc>
        <w:tc>
          <w:tcPr>
            <w:tcW w:type="dxa" w:w="27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Affichage et restitution</w:t>
            </w:r>
          </w:p>
        </w:tc>
      </w:tr>
      <w:tr>
        <w:tc>
          <w:tcPr>
            <w:tcW w:type="dxa" w:w="30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latitude, longitude</w:t>
            </w:r>
          </w:p>
        </w:tc>
        <w:tc>
          <w:tcPr>
            <w:tcW w:type="dxa" w:w="12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décimal</w:t>
            </w:r>
          </w:p>
        </w:tc>
        <w:tc>
          <w:tcPr>
            <w:tcW w:type="dxa" w:w="2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Référentiel national</w:t>
            </w:r>
          </w:p>
        </w:tc>
        <w:tc>
          <w:tcPr>
            <w:tcW w:type="dxa" w:w="27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Jointure entre référentiels</w:t>
            </w:r>
          </w:p>
        </w:tc>
      </w:tr>
      <w:tr>
        <w:tc>
          <w:tcPr>
            <w:tcW w:type="dxa" w:w="30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population</w:t>
            </w:r>
          </w:p>
        </w:tc>
        <w:tc>
          <w:tcPr>
            <w:tcW w:type="dxa" w:w="12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entier</w:t>
            </w:r>
          </w:p>
        </w:tc>
        <w:tc>
          <w:tcPr>
            <w:tcW w:type="dxa" w:w="24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Recensement</w:t>
            </w:r>
          </w:p>
        </w:tc>
        <w:tc>
          <w:tcPr>
            <w:tcW w:type="dxa" w:w="27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Calcul de la population éligible</w:t>
            </w:r>
          </w:p>
        </w:tc>
      </w:tr>
      <w:tr>
        <w:tc>
          <w:tcPr>
            <w:tcW w:type="dxa" w:w="30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couverture_2g, couverture_3g, couverture_4g</w:t>
            </w:r>
          </w:p>
        </w:tc>
        <w:tc>
          <w:tcPr>
            <w:tcW w:type="dxa" w:w="12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booléen</w:t>
            </w:r>
          </w:p>
        </w:tc>
        <w:tc>
          <w:tcPr>
            <w:tcW w:type="dxa" w:w="2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Régulateur</w:t>
            </w:r>
          </w:p>
        </w:tc>
        <w:tc>
          <w:tcPr>
            <w:tcW w:type="dxa" w:w="27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Filtre réseau</w:t>
            </w:r>
          </w:p>
        </w:tc>
      </w:tr>
      <w:tr>
        <w:tc>
          <w:tcPr>
            <w:tcW w:type="dxa" w:w="30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distance_site_km</w:t>
            </w:r>
          </w:p>
        </w:tc>
        <w:tc>
          <w:tcPr>
            <w:tcW w:type="dxa" w:w="12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décimal</w:t>
            </w:r>
          </w:p>
        </w:tc>
        <w:tc>
          <w:tcPr>
            <w:tcW w:type="dxa" w:w="24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Calcul</w:t>
            </w:r>
          </w:p>
        </w:tc>
        <w:tc>
          <w:tcPr>
            <w:tcW w:type="dxa" w:w="27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Critère d'isolement</w:t>
            </w:r>
          </w:p>
        </w:tc>
      </w:tr>
      <w:tr>
        <w:tc>
          <w:tcPr>
            <w:tcW w:type="dxa" w:w="30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electrifiee, point_recharge</w:t>
            </w:r>
          </w:p>
        </w:tc>
        <w:tc>
          <w:tcPr>
            <w:tcW w:type="dxa" w:w="12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booléen</w:t>
            </w:r>
          </w:p>
        </w:tc>
        <w:tc>
          <w:tcPr>
            <w:tcW w:type="dxa" w:w="2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Opérateur électrique</w:t>
            </w:r>
          </w:p>
        </w:tc>
        <w:tc>
          <w:tcPr>
            <w:tcW w:type="dxa" w:w="27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Filtre énergie</w:t>
            </w:r>
          </w:p>
        </w:tc>
      </w:tr>
      <w:tr>
        <w:tc>
          <w:tcPr>
            <w:tcW w:type="dxa" w:w="30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point_remise_id</w:t>
            </w:r>
          </w:p>
        </w:tc>
        <w:tc>
          <w:tcPr>
            <w:tcW w:type="dxa" w:w="12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clé</w:t>
            </w:r>
          </w:p>
        </w:tc>
        <w:tc>
          <w:tcPr>
            <w:tcW w:type="dxa" w:w="24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Interne</w:t>
            </w:r>
          </w:p>
        </w:tc>
        <w:tc>
          <w:tcPr>
            <w:tcW w:type="dxa" w:w="27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Filtre accessibilité</w:t>
            </w:r>
          </w:p>
        </w:tc>
      </w:tr>
    </w:tbl>
    <w:p>
      <w:pPr>
        <w:spacing w:after="80" w:before="0" w:line="245"/>
      </w:pPr>
      <w:r>
        <w:rPr>
          <w:rFonts w:ascii="Avenir" w:cs="Avenir" w:eastAsia="Avenir" w:hAnsi="Avenir"/>
          <w:b/>
          <w:bCs/>
          <w:i w:val="false"/>
          <w:iCs w:val="false"/>
          <w:color w:val="B3261E"/>
          <w:sz w:val="18"/>
          <w:szCs w:val="18"/>
        </w:rPr>
        <w:t xml:space="preserve">Règle de jointure impérative. </w:t>
      </w:r>
      <w:r>
        <w:rPr>
          <w:rFonts w:ascii="Avenir" w:cs="Avenir" w:eastAsia="Avenir" w:hAnsi="Avenir"/>
          <w:b w:val="false"/>
          <w:bCs w:val="false"/>
          <w:i w:val="false"/>
          <w:iCs w:val="false"/>
          <w:color w:val="1D1D1B"/>
          <w:sz w:val="18"/>
          <w:szCs w:val="18"/>
        </w:rPr>
        <w:t xml:space="preserve">Le rapprochement entre référentiels se fait par coordonnées géographiques, à l'exclusion des noms de localité, des codes administratifs et de la hiérarchie territoriale. Les noms produisent des faux positifs — deux localités homonymes dans deux départements différents. Cette règle est établie et vérifiée : elle ne se discute pas.</w:t>
      </w:r>
    </w:p>
    <w:p>
      <w:pPr>
        <w:spacing w:after="75" w:before="170"/>
      </w:pPr>
      <w:r>
        <w:rPr>
          <w:rFonts w:ascii="Avenir" w:cs="Avenir" w:eastAsia="Avenir" w:hAnsi="Avenir"/>
          <w:b/>
          <w:bCs/>
          <w:color w:val="2256A3"/>
          <w:sz w:val="17"/>
          <w:szCs w:val="17"/>
        </w:rPr>
        <w:t xml:space="preserve">2.2  Filtres d'exclusion</w:t>
      </w:r>
    </w:p>
    <w:p>
      <w:pPr>
        <w:spacing w:after="80" w:before="0" w:line="245"/>
      </w:pPr>
      <w:r>
        <w:rPr>
          <w:rFonts w:ascii="Avenir" w:cs="Avenir" w:eastAsia="Avenir" w:hAnsi="Avenir"/>
          <w:b w:val="false"/>
          <w:bCs w:val="false"/>
          <w:i w:val="false"/>
          <w:iCs w:val="false"/>
          <w:caps w:val="false"/>
          <w:color w:val="1D1D1B"/>
          <w:sz w:val="18"/>
          <w:szCs w:val="18"/>
        </w:rPr>
        <w:t xml:space="preserve">Trois conditions éliminatoires. L'échec à une seule exclut la localité, quelle que soit sa situation sociale.</w:t>
      </w:r>
    </w:p>
    <w:tbl>
      <w:tblPr>
        <w:tblW w:type="dxa" w:w="9360"/>
        <w:tblBorders>
          <w:top w:val="none" w:color="FFFFFF" w:sz="0"/>
          <w:left w:val="none" w:color="FFFFFF" w:sz="0"/>
          <w:bottom w:val="none" w:color="FFFFFF" w:sz="0"/>
          <w:right w:val="none" w:color="FFFFFF" w:sz="0"/>
          <w:insideH w:val="single" w:color="E0E0DE" w:sz="4"/>
          <w:insideV w:val="none" w:color="FFFFFF" w:sz="0"/>
        </w:tblBorders>
      </w:tblPr>
      <w:tblGrid>
        <w:gridCol w:w="1700"/>
        <w:gridCol w:w="3400"/>
        <w:gridCol w:w="4260"/>
      </w:tblGrid>
      <w:tr>
        <w:tc>
          <w:tcPr>
            <w:tcW w:type="dxa" w:w="17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Filtre</w:t>
            </w:r>
          </w:p>
        </w:tc>
        <w:tc>
          <w:tcPr>
            <w:tcW w:type="dxa" w:w="34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Condition</w:t>
            </w:r>
          </w:p>
        </w:tc>
        <w:tc>
          <w:tcPr>
            <w:tcW w:type="dxa" w:w="426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Motif</w:t>
            </w:r>
          </w:p>
        </w:tc>
      </w:tr>
      <w:tr>
        <w:tc>
          <w:tcPr>
            <w:tcW w:type="dxa" w:w="17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Réseau</w:t>
            </w:r>
          </w:p>
        </w:tc>
        <w:tc>
          <w:tcPr>
            <w:tcW w:type="dxa" w:w="3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couverture_3g OU couverture_4g = vrai</w:t>
            </w:r>
          </w:p>
        </w:tc>
        <w:tc>
          <w:tcPr>
            <w:tcW w:type="dxa" w:w="42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La 2G seule ne permet pas l'usage d'un smartphone</w:t>
            </w:r>
          </w:p>
        </w:tc>
      </w:tr>
      <w:tr>
        <w:tc>
          <w:tcPr>
            <w:tcW w:type="dxa" w:w="17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Énergie</w:t>
            </w:r>
          </w:p>
        </w:tc>
        <w:tc>
          <w:tcPr>
            <w:tcW w:type="dxa" w:w="34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electrifiee OU point_recharge = vrai</w:t>
            </w:r>
          </w:p>
        </w:tc>
        <w:tc>
          <w:tcPr>
            <w:tcW w:type="dxa" w:w="42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Un terminal non rechargeable est sans usage</w:t>
            </w:r>
          </w:p>
        </w:tc>
      </w:tr>
      <w:tr>
        <w:tc>
          <w:tcPr>
            <w:tcW w:type="dxa" w:w="17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Accessibilité</w:t>
            </w:r>
          </w:p>
        </w:tc>
        <w:tc>
          <w:tcPr>
            <w:tcW w:type="dxa" w:w="3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point_remise_id renseigné</w:t>
            </w:r>
          </w:p>
        </w:tc>
        <w:tc>
          <w:tcPr>
            <w:tcW w:type="dxa" w:w="42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Sans point de remise, la distribution est impossible</w:t>
            </w:r>
          </w:p>
        </w:tc>
      </w:tr>
    </w:tbl>
    <w:p>
      <w:pPr>
        <w:spacing w:after="80" w:before="0" w:line="245"/>
      </w:pPr>
      <w:r>
        <w:rPr>
          <w:rFonts w:ascii="Avenir" w:cs="Avenir" w:eastAsia="Avenir" w:hAnsi="Avenir"/>
          <w:b/>
          <w:bCs/>
          <w:i w:val="false"/>
          <w:iCs w:val="false"/>
          <w:color w:val="F08224"/>
          <w:sz w:val="18"/>
          <w:szCs w:val="18"/>
        </w:rPr>
        <w:t xml:space="preserve">À noter. </w:t>
      </w:r>
      <w:r>
        <w:rPr>
          <w:rFonts w:ascii="Avenir" w:cs="Avenir" w:eastAsia="Avenir" w:hAnsi="Avenir"/>
          <w:b w:val="false"/>
          <w:bCs w:val="false"/>
          <w:i w:val="false"/>
          <w:iCs w:val="false"/>
          <w:color w:val="1D1D1B"/>
          <w:sz w:val="18"/>
          <w:szCs w:val="18"/>
        </w:rPr>
        <w:t xml:space="preserve">Le filtre réseau exige la 3G ou la 4G, non la simple couverture mobile. Une localité couverte en 2G uniquement est exclue. Ce point est souvent mal compris et doit être implémenté strictement.</w:t>
      </w:r>
    </w:p>
    <w:p>
      <w:pPr>
        <w:spacing w:after="75" w:before="170"/>
      </w:pPr>
      <w:r>
        <w:rPr>
          <w:rFonts w:ascii="Avenir" w:cs="Avenir" w:eastAsia="Avenir" w:hAnsi="Avenir"/>
          <w:b/>
          <w:bCs/>
          <w:color w:val="2256A3"/>
          <w:sz w:val="17"/>
          <w:szCs w:val="17"/>
        </w:rPr>
        <w:t xml:space="preserve">2.3  Score de priorisation</w:t>
      </w:r>
    </w:p>
    <w:p>
      <w:pPr>
        <w:spacing w:after="80" w:before="0" w:line="245"/>
      </w:pPr>
      <w:r>
        <w:rPr>
          <w:rFonts w:ascii="Avenir" w:cs="Avenir" w:eastAsia="Avenir" w:hAnsi="Avenir"/>
          <w:b w:val="false"/>
          <w:bCs w:val="false"/>
          <w:i w:val="false"/>
          <w:iCs w:val="false"/>
          <w:caps w:val="false"/>
          <w:color w:val="1D1D1B"/>
          <w:sz w:val="18"/>
          <w:szCs w:val="18"/>
        </w:rPr>
        <w:t xml:space="preserve">Appliqué aux seules localités ayant franchi les trois filtres. Chaque critère est normalisé sur cent, puis pondéré.</w:t>
      </w:r>
    </w:p>
    <w:tbl>
      <w:tblPr>
        <w:tblW w:type="dxa" w:w="9360"/>
        <w:tblBorders>
          <w:top w:val="none" w:color="FFFFFF" w:sz="0"/>
          <w:left w:val="none" w:color="FFFFFF" w:sz="0"/>
          <w:bottom w:val="none" w:color="FFFFFF" w:sz="0"/>
          <w:right w:val="none" w:color="FFFFFF" w:sz="0"/>
          <w:insideH w:val="single" w:color="E0E0DE" w:sz="4"/>
          <w:insideV w:val="none" w:color="FFFFFF" w:sz="0"/>
        </w:tblBorders>
      </w:tblPr>
      <w:tblGrid>
        <w:gridCol w:w="2200"/>
        <w:gridCol w:w="2800"/>
        <w:gridCol w:w="3400"/>
        <w:gridCol w:w="960"/>
      </w:tblGrid>
      <w:tr>
        <w:tc>
          <w:tcPr>
            <w:tcW w:type="dxa" w:w="22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Critère</w:t>
            </w:r>
          </w:p>
        </w:tc>
        <w:tc>
          <w:tcPr>
            <w:tcW w:type="dxa" w:w="28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Mesure</w:t>
            </w:r>
          </w:p>
        </w:tc>
        <w:tc>
          <w:tcPr>
            <w:tcW w:type="dxa" w:w="34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Sens</w:t>
            </w:r>
          </w:p>
        </w:tc>
        <w:tc>
          <w:tcPr>
            <w:tcW w:type="dxa" w:w="96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Poids</w:t>
            </w:r>
          </w:p>
        </w:tc>
      </w:tr>
      <w:tr>
        <w:tc>
          <w:tcPr>
            <w:tcW w:type="dxa" w:w="22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Déficit d'équipement</w:t>
            </w:r>
          </w:p>
        </w:tc>
        <w:tc>
          <w:tcPr>
            <w:tcW w:type="dxa" w:w="28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Écart au taux national de possession</w:t>
            </w:r>
          </w:p>
        </w:tc>
        <w:tc>
          <w:tcPr>
            <w:tcW w:type="dxa" w:w="3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Plus l'écart est fort, plus le score est élevé</w:t>
            </w:r>
          </w:p>
        </w:tc>
        <w:tc>
          <w:tcPr>
            <w:tcW w:type="dxa" w:w="9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30</w:t>
            </w:r>
          </w:p>
        </w:tc>
      </w:tr>
      <w:tr>
        <w:tc>
          <w:tcPr>
            <w:tcW w:type="dxa" w:w="22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Pauvreté</w:t>
            </w:r>
          </w:p>
        </w:tc>
        <w:tc>
          <w:tcPr>
            <w:tcW w:type="dxa" w:w="28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Taux de pauvreté du département</w:t>
            </w:r>
          </w:p>
        </w:tc>
        <w:tc>
          <w:tcPr>
            <w:tcW w:type="dxa" w:w="34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Plus il est élevé, plus le score est élevé</w:t>
            </w:r>
          </w:p>
        </w:tc>
        <w:tc>
          <w:tcPr>
            <w:tcW w:type="dxa" w:w="9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25</w:t>
            </w:r>
          </w:p>
        </w:tc>
      </w:tr>
      <w:tr>
        <w:tc>
          <w:tcPr>
            <w:tcW w:type="dxa" w:w="22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Ruralité</w:t>
            </w:r>
          </w:p>
        </w:tc>
        <w:tc>
          <w:tcPr>
            <w:tcW w:type="dxa" w:w="28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Caractère rural et isolement</w:t>
            </w:r>
          </w:p>
        </w:tc>
        <w:tc>
          <w:tcPr>
            <w:tcW w:type="dxa" w:w="3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Plus la localité est isolée, plus le score est élevé</w:t>
            </w:r>
          </w:p>
        </w:tc>
        <w:tc>
          <w:tcPr>
            <w:tcW w:type="dxa" w:w="9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20</w:t>
            </w:r>
          </w:p>
        </w:tc>
      </w:tr>
      <w:tr>
        <w:tc>
          <w:tcPr>
            <w:tcW w:type="dxa" w:w="22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Femmes et jeunes</w:t>
            </w:r>
          </w:p>
        </w:tc>
        <w:tc>
          <w:tcPr>
            <w:tcW w:type="dxa" w:w="28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Part dans la population adulte</w:t>
            </w:r>
          </w:p>
        </w:tc>
        <w:tc>
          <w:tcPr>
            <w:tcW w:type="dxa" w:w="34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Plus la part est forte, plus le score est élevé</w:t>
            </w:r>
          </w:p>
        </w:tc>
        <w:tc>
          <w:tcPr>
            <w:tcW w:type="dxa" w:w="9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15</w:t>
            </w:r>
          </w:p>
        </w:tc>
      </w:tr>
      <w:tr>
        <w:tc>
          <w:tcPr>
            <w:tcW w:type="dxa" w:w="22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Efficacité logistique</w:t>
            </w:r>
          </w:p>
        </w:tc>
        <w:tc>
          <w:tcPr>
            <w:tcW w:type="dxa" w:w="28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Densité et coût d'acheminement</w:t>
            </w:r>
          </w:p>
        </w:tc>
        <w:tc>
          <w:tcPr>
            <w:tcW w:type="dxa" w:w="3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Plus l'acheminement est aisé, plus le score est élevé</w:t>
            </w:r>
          </w:p>
        </w:tc>
        <w:tc>
          <w:tcPr>
            <w:tcW w:type="dxa" w:w="9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10</w:t>
            </w:r>
          </w:p>
        </w:tc>
      </w:tr>
    </w:tbl>
    <w:p>
      <w:pPr>
        <w:spacing w:after="80" w:before="0" w:line="245"/>
      </w:pPr>
      <w:r>
        <w:rPr>
          <w:rFonts w:ascii="Avenir" w:cs="Avenir" w:eastAsia="Avenir" w:hAnsi="Avenir"/>
          <w:b/>
          <w:bCs/>
          <w:i w:val="false"/>
          <w:iCs w:val="false"/>
          <w:color w:val="B3261E"/>
          <w:sz w:val="18"/>
          <w:szCs w:val="18"/>
        </w:rPr>
        <w:t xml:space="preserve">Les poids sont paramétrables. </w:t>
      </w:r>
      <w:r>
        <w:rPr>
          <w:rFonts w:ascii="Avenir" w:cs="Avenir" w:eastAsia="Avenir" w:hAnsi="Avenir"/>
          <w:b w:val="false"/>
          <w:bCs w:val="false"/>
          <w:i w:val="false"/>
          <w:iCs w:val="false"/>
          <w:color w:val="1D1D1B"/>
          <w:sz w:val="18"/>
          <w:szCs w:val="18"/>
        </w:rPr>
        <w:t xml:space="preserve">Ils doivent être stockés en base, modifiables par un administrateur habilité, et chaque modification doit être horodatée et journalisée. Un calcul de score doit conserver la trace du jeu de poids utilisé : deux exécutions à des dates différentes ne doivent pas produire silencieusement des résultats différents.</w:t>
      </w:r>
    </w:p>
    <w:p>
      <w:pPr>
        <w:spacing w:after="75" w:before="170"/>
      </w:pPr>
      <w:r>
        <w:rPr>
          <w:rFonts w:ascii="Avenir" w:cs="Avenir" w:eastAsia="Avenir" w:hAnsi="Avenir"/>
          <w:b/>
          <w:bCs/>
          <w:color w:val="2256A3"/>
          <w:sz w:val="17"/>
          <w:szCs w:val="17"/>
        </w:rPr>
        <w:t xml:space="preserve">2.4  Allocation des quotas</w:t>
      </w:r>
    </w:p>
    <w:p>
      <w:pPr>
        <w:spacing w:after="80" w:before="0" w:line="245"/>
      </w:pPr>
      <w:r>
        <w:rPr>
          <w:rFonts w:ascii="Avenir" w:cs="Avenir" w:eastAsia="Avenir" w:hAnsi="Avenir"/>
          <w:b w:val="false"/>
          <w:bCs w:val="false"/>
          <w:i w:val="false"/>
          <w:iCs w:val="false"/>
          <w:caps w:val="false"/>
          <w:color w:val="1D1D1B"/>
          <w:sz w:val="18"/>
          <w:szCs w:val="18"/>
        </w:rPr>
        <w:t xml:space="preserve">Le volume de la campagne se répartit entre localités retenues :</w:t>
      </w:r>
    </w:p>
    <w:p>
      <w:pPr>
        <w:shd w:fill="F5F6F8" w:color="auto" w:val="clear"/>
        <w:spacing w:after="100" w:before="60"/>
        <w:ind w:left="180" w:right="180"/>
      </w:pPr>
      <w:r>
        <w:rPr>
          <w:rFonts w:ascii="Consolas" w:cs="Consolas" w:eastAsia="Consolas" w:hAnsi="Consolas"/>
          <w:color w:val="1D1D1B"/>
          <w:sz w:val="16"/>
          <w:szCs w:val="16"/>
        </w:rPr>
        <w:t xml:space="preserve">quota_localite =</w:t>
      </w:r>
    </w:p>
    <w:p>
      <w:pPr>
        <w:shd w:fill="F5F6F8" w:color="auto" w:val="clear"/>
        <w:spacing w:after="100" w:before="60"/>
        <w:ind w:left="180" w:right="180"/>
      </w:pPr>
      <w:r>
        <w:rPr>
          <w:rFonts w:ascii="Consolas" w:cs="Consolas" w:eastAsia="Consolas" w:hAnsi="Consolas"/>
          <w:color w:val="1D1D1B"/>
          <w:sz w:val="16"/>
          <w:szCs w:val="16"/>
        </w:rPr>
        <w:t xml:space="preserve">    volume_score × (score × population_eligible)</w:t>
      </w:r>
    </w:p>
    <w:p>
      <w:pPr>
        <w:shd w:fill="F5F6F8" w:color="auto" w:val="clear"/>
        <w:spacing w:after="100" w:before="60"/>
        <w:ind w:left="180" w:right="180"/>
      </w:pPr>
      <w:r>
        <w:rPr>
          <w:rFonts w:ascii="Consolas" w:cs="Consolas" w:eastAsia="Consolas" w:hAnsi="Consolas"/>
          <w:color w:val="1D1D1B"/>
          <w:sz w:val="16"/>
          <w:szCs w:val="16"/>
        </w:rPr>
        <w:t xml:space="preserve">    ÷ somme sur toutes les localités de (score × population_eligible)</w:t>
      </w:r>
    </w:p>
    <w:p>
      <w:pPr>
        <w:spacing w:after="80" w:before="0" w:line="245"/>
      </w:pPr>
      <w:r>
        <w:rPr>
          <w:rFonts w:ascii="Avenir" w:cs="Avenir" w:eastAsia="Avenir" w:hAnsi="Avenir"/>
          <w:b/>
          <w:bCs/>
          <w:i w:val="false"/>
          <w:iCs w:val="false"/>
          <w:color w:val="B3261E"/>
          <w:sz w:val="18"/>
          <w:szCs w:val="18"/>
        </w:rPr>
        <w:t xml:space="preserve">Attention à la définition de la population éligible. </w:t>
      </w:r>
      <w:r>
        <w:rPr>
          <w:rFonts w:ascii="Avenir" w:cs="Avenir" w:eastAsia="Avenir" w:hAnsi="Avenir"/>
          <w:b w:val="false"/>
          <w:bCs w:val="false"/>
          <w:i w:val="false"/>
          <w:iCs w:val="false"/>
          <w:color w:val="1D1D1B"/>
          <w:sz w:val="18"/>
          <w:szCs w:val="18"/>
        </w:rPr>
        <w:t xml:space="preserve">Il s'agit du nombre estimé de ménages défavorisés de la localité, soit population × taux_pauvrete — et non de la population totale. Retenir la population totale inverse le classement : les localités urbaines peuplées captent l'essentiel du quota au détriment des localités rurales pauvres, ce qui contredit l'objet du programme. Cette erreur a été constatée en test.</w:t>
      </w:r>
    </w:p>
    <w:p>
      <w:pPr>
        <w:spacing w:after="80" w:before="70" w:line="245"/>
      </w:pPr>
      <w:r>
        <w:rPr>
          <w:rFonts w:ascii="Avenir" w:cs="Avenir" w:eastAsia="Avenir" w:hAnsi="Avenir"/>
          <w:b w:val="false"/>
          <w:bCs w:val="false"/>
          <w:i w:val="false"/>
          <w:iCs w:val="false"/>
          <w:caps w:val="false"/>
          <w:color w:val="1D1D1B"/>
          <w:sz w:val="18"/>
          <w:szCs w:val="18"/>
        </w:rPr>
        <w:t xml:space="preserve">Deux bornes s'appliquent après calcul : un plancher par région éligible, et un plafond limitant la concentration. Les deux valeurs sont paramétrables.</w:t>
      </w:r>
    </w:p>
    <w:p>
      <w:pPr>
        <w:spacing w:after="75" w:before="170"/>
      </w:pPr>
      <w:r>
        <w:rPr>
          <w:rFonts w:ascii="Avenir" w:cs="Avenir" w:eastAsia="Avenir" w:hAnsi="Avenir"/>
          <w:b/>
          <w:bCs/>
          <w:color w:val="2256A3"/>
          <w:sz w:val="17"/>
          <w:szCs w:val="17"/>
        </w:rPr>
        <w:t xml:space="preserve">2.5  Réserve d'arbitrage</w:t>
      </w:r>
    </w:p>
    <w:p>
      <w:pPr>
        <w:spacing w:after="80" w:before="0" w:line="245"/>
      </w:pPr>
      <w:r>
        <w:rPr>
          <w:rFonts w:ascii="Avenir" w:cs="Avenir" w:eastAsia="Avenir" w:hAnsi="Avenir"/>
          <w:b w:val="false"/>
          <w:bCs w:val="false"/>
          <w:i w:val="false"/>
          <w:iCs w:val="false"/>
          <w:caps w:val="false"/>
          <w:color w:val="1D1D1B"/>
          <w:sz w:val="18"/>
          <w:szCs w:val="18"/>
        </w:rPr>
        <w:t xml:space="preserve">Le volume de campagne est scindé en deux enveloppes :</w:t>
      </w:r>
    </w:p>
    <w:tbl>
      <w:tblPr>
        <w:tblW w:type="dxa" w:w="9360"/>
        <w:tblBorders>
          <w:top w:val="none" w:color="FFFFFF" w:sz="0"/>
          <w:left w:val="none" w:color="FFFFFF" w:sz="0"/>
          <w:bottom w:val="none" w:color="FFFFFF" w:sz="0"/>
          <w:right w:val="none" w:color="FFFFFF" w:sz="0"/>
          <w:insideH w:val="single" w:color="E0E0DE" w:sz="4"/>
          <w:insideV w:val="none" w:color="FFFFFF" w:sz="0"/>
        </w:tblBorders>
      </w:tblPr>
      <w:tblGrid>
        <w:gridCol w:w="2600"/>
        <w:gridCol w:w="2000"/>
        <w:gridCol w:w="4760"/>
      </w:tblGrid>
      <w:tr>
        <w:tc>
          <w:tcPr>
            <w:tcW w:type="dxa" w:w="26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Enveloppe</w:t>
            </w:r>
          </w:p>
        </w:tc>
        <w:tc>
          <w:tcPr>
            <w:tcW w:type="dxa" w:w="20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Part par défaut</w:t>
            </w:r>
          </w:p>
        </w:tc>
        <w:tc>
          <w:tcPr>
            <w:tcW w:type="dxa" w:w="476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Attribution</w:t>
            </w:r>
          </w:p>
        </w:tc>
      </w:tr>
      <w:tr>
        <w:tc>
          <w:tcPr>
            <w:tcW w:type="dxa" w:w="26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volume_score</w:t>
            </w:r>
          </w:p>
        </w:tc>
        <w:tc>
          <w:tcPr>
            <w:tcW w:type="dxa" w:w="20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75 %</w:t>
            </w:r>
          </w:p>
        </w:tc>
        <w:tc>
          <w:tcPr>
            <w:tcW w:type="dxa" w:w="47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Calculée mécaniquement par la formule ci-dessus</w:t>
            </w:r>
          </w:p>
        </w:tc>
      </w:tr>
      <w:tr>
        <w:tc>
          <w:tcPr>
            <w:tcW w:type="dxa" w:w="26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volume_reserve</w:t>
            </w:r>
          </w:p>
        </w:tc>
        <w:tc>
          <w:tcPr>
            <w:tcW w:type="dxa" w:w="20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25 %</w:t>
            </w:r>
          </w:p>
        </w:tc>
        <w:tc>
          <w:tcPr>
            <w:tcW w:type="dxa" w:w="47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Saisie manuelle par un utilisateur habilité, avec motif obligatoire</w:t>
            </w:r>
          </w:p>
        </w:tc>
      </w:tr>
    </w:tbl>
    <w:p>
      <w:pPr>
        <w:spacing w:after="80" w:before="70" w:line="245"/>
      </w:pPr>
      <w:r>
        <w:rPr>
          <w:rFonts w:ascii="Avenir" w:cs="Avenir" w:eastAsia="Avenir" w:hAnsi="Avenir"/>
          <w:b w:val="false"/>
          <w:bCs w:val="false"/>
          <w:i w:val="false"/>
          <w:iCs w:val="false"/>
          <w:caps w:val="false"/>
          <w:color w:val="1D1D1B"/>
          <w:sz w:val="18"/>
          <w:szCs w:val="18"/>
        </w:rPr>
        <w:t xml:space="preserve">Toute attribution sur la réserve exige un motif écrit, l'identité de l'auteur et un horodatage. Le plafond régional s'applique à la somme des deux enveloppes. Les états de restitution distinguent systématiquement l'origine de chaque quota.</w:t>
      </w:r>
    </w:p>
    <w:p>
      <w:pPr>
        <w:spacing w:after="80" w:before="70" w:line="245"/>
      </w:pPr>
      <w:r>
        <w:rPr>
          <w:rFonts w:ascii="Avenir" w:cs="Avenir" w:eastAsia="Avenir" w:hAnsi="Avenir"/>
          <w:b/>
          <w:bCs w:val="false"/>
          <w:i w:val="false"/>
          <w:iCs w:val="false"/>
          <w:caps w:val="false"/>
          <w:color w:val="1D1D1B"/>
          <w:sz w:val="18"/>
          <w:szCs w:val="18"/>
        </w:rPr>
        <w:t xml:space="preserve">Discordance à lever avant publication. </w:t>
      </w:r>
      <w:r>
        <w:rPr>
          <w:rFonts w:ascii="Avenir" w:hAnsi="Avenir"/>
          <w:b w:val="0"/>
          <w:sz w:val="18"/>
        </w:rPr>
        <w:t>Une clé de 75 % / 25 % est ici documentée comme part par défaut. La revue du ciblage du 18 août mentionne une orientation à 80 % / 20 %. Les deux valeurs ne sont pas arbitrées au même niveau : la présente clé est la valeur par défaut d'un paramètre administrable (modifiable sans redéploiement) ; l'orientation à 80 % relève d'une décision de principe (décision C-2, revue du ciblage) restée elle-même non arrêtée. La plateforme doit implémenter le paramètre configurable indépendamment de la valeur retenue — mais la valeur affichée par défaut dans ce document et celle citée dans la revue du ciblage doivent être harmonisées avant publication de l'appel à projets, pour ne pas transmettre deux références contradictoires aux candidats.</w:t>
      </w:r>
    </w:p>
    <w:p>
      <w:pPr>
        <w:pBdr>
          <w:bottom w:val="single" w:color="2256A3" w:sz="10" w:space="5"/>
        </w:pBdr>
        <w:spacing w:after="100" w:before="215"/>
      </w:pPr>
      <w:r>
        <w:rPr>
          <w:rFonts w:ascii="Avenir" w:cs="Avenir" w:eastAsia="Avenir" w:hAnsi="Avenir"/>
          <w:b/>
          <w:bCs/>
          <w:color w:val="F08224"/>
          <w:sz w:val="19"/>
          <w:szCs w:val="19"/>
        </w:rPr>
        <w:t>3   Ciblage individuel</w:t>
      </w:r>
    </w:p>
    <w:p>
      <w:pPr>
        <w:spacing w:after="80" w:before="0" w:line="245"/>
      </w:pPr>
      <w:r>
        <w:rPr>
          <w:rFonts w:ascii="Avenir" w:cs="Avenir" w:eastAsia="Avenir" w:hAnsi="Avenir"/>
          <w:b/>
          <w:bCs w:val="false"/>
          <w:i w:val="false"/>
          <w:iCs w:val="false"/>
          <w:caps w:val="false"/>
          <w:color w:val="1D1D1B"/>
          <w:sz w:val="18"/>
          <w:szCs w:val="18"/>
        </w:rPr>
        <w:t xml:space="preserve">Deux mécanismes distincts. </w:t>
      </w:r>
      <w:r>
        <w:rPr>
          <w:rFonts w:ascii="Avenir" w:hAnsi="Avenir"/>
          <w:b w:val="0"/>
          <w:sz w:val="18"/>
        </w:rPr>
        <w:t>Le ciblage individuel comporte deux mécanismes de nature différente, qui ne doivent jamais être confondus dans l'implémentation : les contrôles de régularité, qui déterminent si l'Agence a le droit de remettre un terminal à cette personne, et le score individuel, qui détermine son rang de priorité parmi les demandeurs recevables. Les premiers sont bloquants et ne donnent aucun point ; le second n'est jamais bloquant et ne produit qu'un rang.</w:t>
      </w:r>
    </w:p>
    <w:p>
      <w:pPr>
        <w:spacing w:after="75" w:before="170"/>
      </w:pPr>
      <w:r>
        <w:rPr>
          <w:rFonts w:ascii="Avenir" w:cs="Avenir" w:eastAsia="Avenir" w:hAnsi="Avenir"/>
          <w:b/>
          <w:bCs/>
          <w:color w:val="2256A3"/>
          <w:sz w:val="17"/>
          <w:szCs w:val="17"/>
        </w:rPr>
        <w:t>3.1  Les contrôles de régularité</w:t>
      </w:r>
    </w:p>
    <w:p>
      <w:pPr>
        <w:spacing w:after="80" w:before="0" w:line="245"/>
      </w:pPr>
      <w:r>
        <w:rPr>
          <w:rFonts w:ascii="Avenir" w:cs="Avenir" w:eastAsia="Avenir" w:hAnsi="Avenir"/>
          <w:b w:val="false"/>
          <w:bCs w:val="false"/>
          <w:i w:val="false"/>
          <w:iCs w:val="false"/>
          <w:caps w:val="false"/>
          <w:color w:val="1D1D1B"/>
          <w:sz w:val="18"/>
          <w:szCs w:val="18"/>
        </w:rPr>
        <w:t>Appliqués à toute demande dans une localité ouverte. Tous doivent aboutir. Ils ne donnent aucun point et ne participent pas au score : ils répondent uniquement à la question « avons-nous juridiquement et opérationnellement le droit de remettre ce terminal à cette personne ? ».</w:t>
      </w:r>
    </w:p>
    <w:tbl>
      <w:tblPr>
        <w:tblW w:type="dxa" w:w="9360"/>
        <w:tblBorders>
          <w:top w:val="none" w:color="FFFFFF" w:sz="0"/>
          <w:left w:val="none" w:color="FFFFFF" w:sz="0"/>
          <w:bottom w:val="none" w:color="FFFFFF" w:sz="0"/>
          <w:right w:val="none" w:color="FFFFFF" w:sz="0"/>
          <w:insideH w:val="single" w:color="E0E0DE" w:sz="4"/>
          <w:insideV w:val="none" w:color="FFFFFF" w:sz="0"/>
        </w:tblBorders>
      </w:tblPr>
      <w:tblGrid>
        <w:gridCol w:w="2100"/>
        <w:gridCol w:w="3600"/>
        <w:gridCol w:w="1900"/>
        <w:gridCol w:w="1760"/>
      </w:tblGrid>
      <w:tr>
        <w:tc>
          <w:tcPr>
            <w:tcW w:type="dxa" w:w="21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Vérification</w:t>
            </w:r>
          </w:p>
        </w:tc>
        <w:tc>
          <w:tcPr>
            <w:tcW w:type="dxa" w:w="36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Ce qui est contrôlé</w:t>
            </w:r>
          </w:p>
        </w:tc>
        <w:tc>
          <w:tcPr>
            <w:tcW w:type="dxa" w:w="19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Source</w:t>
            </w:r>
          </w:p>
        </w:tc>
        <w:tc>
          <w:tcPr>
            <w:tcW w:type="dxa" w:w="176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Statut</w:t>
            </w:r>
          </w:p>
        </w:tc>
      </w:tr>
      <w:tr>
        <w:tc>
          <w:tcPr>
            <w:tcW w:type="dxa" w:w="21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Identité</w:t>
            </w:r>
          </w:p>
        </w:tc>
        <w:tc>
          <w:tcPr>
            <w:tcW w:type="dxa" w:w="36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Pièce valide, titulaire vivant, absence d'usurpation</w:t>
            </w:r>
          </w:p>
        </w:tc>
        <w:tc>
          <w:tcPr>
            <w:tcW w:type="dxa" w:w="19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État civil</w:t>
            </w:r>
          </w:p>
        </w:tc>
        <w:tc>
          <w:tcPr>
            <w:tcW w:type="dxa" w:w="17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Externe</w:t>
            </w:r>
          </w:p>
        </w:tc>
      </w:tr>
      <w:tr>
        <w:tc>
          <w:tcPr>
            <w:tcW w:type="dxa" w:w="21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Majorité</w:t>
            </w:r>
          </w:p>
        </w:tc>
        <w:tc>
          <w:tcPr>
            <w:tcW w:type="dxa" w:w="36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Dix-huit ans révolus à la date de la demande</w:t>
            </w:r>
          </w:p>
        </w:tc>
        <w:tc>
          <w:tcPr>
            <w:tcW w:type="dxa" w:w="19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Calcul</w:t>
            </w:r>
          </w:p>
        </w:tc>
        <w:tc>
          <w:tcPr>
            <w:tcW w:type="dxa" w:w="17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Interne</w:t>
            </w:r>
          </w:p>
        </w:tc>
      </w:tr>
      <w:tr>
        <w:tc>
          <w:tcPr>
            <w:tcW w:type="dxa" w:w="21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Ayant droit social</w:t>
            </w:r>
          </w:p>
        </w:tc>
        <w:tc>
          <w:tcPr>
            <w:tcW w:type="dxa" w:w="36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Statut du ménage au regard des dispositifs sociaux</w:t>
            </w:r>
          </w:p>
        </w:tc>
        <w:tc>
          <w:tcPr>
            <w:tcW w:type="dxa" w:w="19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Base à arrêter</w:t>
            </w:r>
          </w:p>
        </w:tc>
        <w:tc>
          <w:tcPr>
            <w:tcW w:type="dxa" w:w="17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Externe</w:t>
            </w:r>
          </w:p>
        </w:tc>
      </w:tr>
      <w:tr>
        <w:tc>
          <w:tcPr>
            <w:tcW w:type="dxa" w:w="21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Non-cumul</w:t>
            </w:r>
          </w:p>
        </w:tc>
        <w:tc>
          <w:tcPr>
            <w:tcW w:type="dxa" w:w="36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Absence d'attribution sur la période de référence</w:t>
            </w:r>
          </w:p>
        </w:tc>
        <w:tc>
          <w:tcPr>
            <w:tcW w:type="dxa" w:w="19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Référentiel PASS</w:t>
            </w:r>
          </w:p>
        </w:tc>
        <w:tc>
          <w:tcPr>
            <w:tcW w:type="dxa" w:w="17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Interne</w:t>
            </w:r>
          </w:p>
        </w:tc>
      </w:tr>
      <w:tr>
        <w:tc>
          <w:tcPr>
            <w:tcW w:type="dxa" w:w="21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Ligne mobile</w:t>
            </w:r>
          </w:p>
        </w:tc>
        <w:tc>
          <w:tcPr>
            <w:tcW w:type="dxa" w:w="36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Titulaire concordant, ancienneté minimale</w:t>
            </w:r>
          </w:p>
        </w:tc>
        <w:tc>
          <w:tcPr>
            <w:tcW w:type="dxa" w:w="19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Opérateur</w:t>
            </w:r>
          </w:p>
        </w:tc>
        <w:tc>
          <w:tcPr>
            <w:tcW w:type="dxa" w:w="17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Externe</w:t>
            </w:r>
          </w:p>
        </w:tc>
      </w:tr>
      <w:tr>
        <w:tc>
          <w:tcPr>
            <w:tcW w:type="dxa" w:w="21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Campagne</w:t>
            </w:r>
          </w:p>
        </w:tc>
        <w:tc>
          <w:tcPr>
            <w:tcW w:type="dxa" w:w="36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Localité ouverte, quota disponible</w:t>
            </w:r>
          </w:p>
        </w:tc>
        <w:tc>
          <w:tcPr>
            <w:tcW w:type="dxa" w:w="19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Interne</w:t>
            </w:r>
          </w:p>
        </w:tc>
        <w:tc>
          <w:tcPr>
            <w:tcW w:type="dxa" w:w="17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Interne</w:t>
            </w:r>
          </w:p>
        </w:tc>
      </w:tr>
    </w:tbl>
    <w:p>
      <w:pPr>
        <w:spacing w:after="75" w:before="170"/>
      </w:pPr>
      <w:r>
        <w:rPr>
          <w:rFonts w:ascii="Avenir" w:cs="Avenir" w:eastAsia="Avenir" w:hAnsi="Avenir"/>
          <w:b/>
          <w:bCs/>
          <w:color w:val="2256A3"/>
          <w:sz w:val="17"/>
          <w:szCs w:val="17"/>
        </w:rPr>
        <w:t>3.2  Le score individuel</w:t>
      </w:r>
    </w:p>
    <w:p>
      <w:pPr>
        <w:spacing w:after="80" w:before="0" w:line="245"/>
      </w:pPr>
      <w:r>
        <w:rPr>
          <w:rFonts w:ascii="Avenir" w:cs="Avenir" w:eastAsia="Avenir" w:hAnsi="Avenir"/>
          <w:b w:val="false"/>
          <w:bCs w:val="false"/>
          <w:i w:val="false"/>
          <w:iCs w:val="false"/>
          <w:caps w:val="false"/>
          <w:color w:val="1D1D1B"/>
          <w:sz w:val="18"/>
          <w:szCs w:val="18"/>
        </w:rPr>
        <w:t>Calculé pour toute demande ayant franchi les contrôles de régularité, sur cinq dimensions normalisées de 0 à 1 puis pondérées. Le score n'exclut personne : il classe.</w:t>
      </w:r>
    </w:p>
    <w:p>
      <w:pPr>
        <w:spacing w:after="80" w:before="0" w:line="245"/>
      </w:pPr>
      <w:r>
        <w:rPr>
          <w:rFonts w:ascii="Avenir" w:cs="Avenir" w:eastAsia="Avenir" w:hAnsi="Avenir"/>
          <w:b/>
          <w:bCs w:val="false"/>
          <w:i w:val="false"/>
          <w:iCs w:val="false"/>
          <w:caps w:val="false"/>
          <w:color w:val="1D1D1B"/>
          <w:sz w:val="18"/>
          <w:szCs w:val="18"/>
        </w:rPr>
        <w:t xml:space="preserve">Les cinq dimensions. </w:t>
      </w:r>
      <w:r>
        <w:rPr>
          <w:rFonts w:ascii="Avenir" w:hAnsi="Avenir"/>
          <w:b w:val="0"/>
          <w:sz w:val="18"/>
        </w:rPr>
        <w:t>C1 — disponibilité effective d'un smartphone personnel · C2 — vulnérabilité socio-économique · C3 — accès autonome au numérique (dépendance à un équipement partagé ou à un tiers) · C4 — accessibilité au marché (possibilité d'acheter, financer, réparer) · C5 — vulnérabilités spécifiques objectivement définies.</w:t>
      </w:r>
    </w:p>
    <w:p>
      <w:pPr>
        <w:spacing w:after="80" w:before="0" w:line="245"/>
      </w:pPr>
      <w:r>
        <w:rPr>
          <w:rFonts w:ascii="Avenir" w:cs="Avenir" w:eastAsia="Avenir" w:hAnsi="Avenir"/>
          <w:b/>
          <w:bCs w:val="false"/>
          <w:i w:val="false"/>
          <w:iCs w:val="false"/>
          <w:caps w:val="false"/>
          <w:color w:val="1D1D1B"/>
          <w:sz w:val="18"/>
          <w:szCs w:val="18"/>
        </w:rPr>
        <w:t xml:space="preserve">C1 mérite une attention particulière. </w:t>
      </w:r>
      <w:r>
        <w:rPr>
          <w:rFonts w:ascii="Avenir" w:hAnsi="Avenir"/>
          <w:b w:val="0"/>
          <w:sz w:val="18"/>
        </w:rPr>
        <w:t>C1 est le pivot du dispositif et le seul à exiger une logique d'interprétation. La question implémentée n'est pas « quel terminal cette personne a-t-elle possédé ? » mais « dispose-t-elle aujourd'hui d'un smartphone personnel fonctionnel et utilisé ? ». Le moteur combine quatre données : la déclaration du demandeur, le type et la technologie du terminal associé à sa ligne, son caractère personnel ou partagé, et la date de dernière activité connue. Un historique technique ne vaut jamais situation présente : un terminal 4G actif il y a plusieurs mois ne prouve pas que la personne en dispose encore. La date de dernière activité doit donc figurer parmi les champs demandés aux opérateurs (§ 4.3), et le seuil d'inactivité au-delà duquel un terminal n'est plus réputé disponible est un paramètre administrable, non arrêté à ce jour.</w:t>
      </w:r>
    </w:p>
    <w:p>
      <w:pPr>
        <w:spacing w:after="80" w:before="0" w:line="245"/>
      </w:pPr>
      <w:r>
        <w:rPr>
          <w:rFonts w:ascii="Avenir" w:cs="Avenir" w:eastAsia="Avenir" w:hAnsi="Avenir"/>
          <w:b/>
          <w:bCs w:val="false"/>
          <w:i w:val="false"/>
          <w:iCs w:val="false"/>
          <w:caps w:val="false"/>
          <w:color w:val="1D1D1B"/>
          <w:sz w:val="18"/>
          <w:szCs w:val="18"/>
        </w:rPr>
        <w:t xml:space="preserve">Pondérations non figées. </w:t>
      </w:r>
      <w:r>
        <w:rPr>
          <w:rFonts w:ascii="Avenir" w:hAnsi="Avenir"/>
          <w:b w:val="0"/>
          <w:sz w:val="18"/>
        </w:rPr>
        <w:t>Aucun poids n'est arrêté. Les cinq pondérations, comme les seuils de priorité du § 3.3, sont administrables et doivent être stockées en base avec horodatage et identité de l'auteur de la dernière modification. Le jeu de poids en vigueur au moment d'un calcul est conservé avec ce calcul : rejouer une campagne passée doit produire exactement le même classement.</w:t>
      </w:r>
    </w:p>
    <w:p>
      <w:pPr>
        <w:spacing w:after="80" w:before="0" w:line="245"/>
      </w:pPr>
      <w:r>
        <w:rPr>
          <w:rFonts w:ascii="Avenir" w:cs="Avenir" w:eastAsia="Avenir" w:hAnsi="Avenir"/>
          <w:b/>
          <w:bCs w:val="false"/>
          <w:i w:val="false"/>
          <w:iCs w:val="false"/>
          <w:caps w:val="false"/>
          <w:color w:val="1D1D1B"/>
          <w:sz w:val="18"/>
          <w:szCs w:val="18"/>
        </w:rPr>
        <w:t xml:space="preserve">Interdiction explicite. </w:t>
      </w:r>
      <w:r>
        <w:rPr>
          <w:rFonts w:ascii="Avenir" w:hAnsi="Avenir"/>
          <w:b w:val="0"/>
          <w:sz w:val="18"/>
        </w:rPr>
        <w:t>Le score ne récompense aucun usage. Ni l'activité professionnelle, ni le projet déclaré, ni la nature de l'usage envisagé ne donnent de points. Le profil d'usage éventuellement recueilli après l'attribution (§ 3.4) ne remonte jamais dans ce calcul.</w:t>
      </w:r>
    </w:p>
    <w:p>
      <w:pPr>
        <w:spacing w:after="75" w:before="170"/>
      </w:pPr>
      <w:r>
        <w:rPr>
          <w:rFonts w:ascii="Avenir" w:cs="Avenir" w:eastAsia="Avenir" w:hAnsi="Avenir"/>
          <w:b/>
          <w:bCs/>
          <w:color w:val="2256A3"/>
          <w:sz w:val="17"/>
          <w:szCs w:val="17"/>
        </w:rPr>
        <w:t>3.3  Le résultat : un rang de priorité, non un verdict</w:t>
      </w:r>
    </w:p>
    <w:p>
      <w:pPr>
        <w:spacing w:after="80" w:before="0" w:line="245"/>
      </w:pPr>
      <w:r>
        <w:rPr>
          <w:rFonts w:ascii="Avenir" w:cs="Avenir" w:eastAsia="Avenir" w:hAnsi="Avenir"/>
          <w:b w:val="false"/>
          <w:bCs w:val="false"/>
          <w:i w:val="false"/>
          <w:iCs w:val="false"/>
          <w:caps w:val="false"/>
          <w:color w:val="1D1D1B"/>
          <w:sz w:val="18"/>
          <w:szCs w:val="18"/>
        </w:rPr>
        <w:t>Le moteur ne produit pas un « éligible / non éligible ». Il produit un niveau de priorité — P1 très élevée, P2 élevée, P3 normale, P4 faible — déterminé par le score au regard de seuils paramétrables. Le quota de la campagne détermine ensuite jusqu'où l'on descend dans le classement.</w:t>
      </w:r>
    </w:p>
    <w:p>
      <w:pPr>
        <w:spacing w:after="80" w:before="0" w:line="245"/>
      </w:pPr>
      <w:r>
        <w:rPr>
          <w:rFonts w:ascii="Avenir" w:cs="Avenir" w:eastAsia="Avenir" w:hAnsi="Avenir"/>
          <w:b/>
          <w:bCs w:val="false"/>
          <w:i w:val="false"/>
          <w:iCs w:val="false"/>
          <w:caps w:val="false"/>
          <w:color w:val="1D1D1B"/>
          <w:sz w:val="18"/>
          <w:szCs w:val="18"/>
        </w:rPr>
        <w:t xml:space="preserve">Conséquence sur les libellés. </w:t>
      </w:r>
      <w:r>
        <w:rPr>
          <w:rFonts w:ascii="Avenir" w:hAnsi="Avenir"/>
          <w:b w:val="0"/>
          <w:sz w:val="18"/>
        </w:rPr>
        <w:t>Une demande non servie lors d'une campagne n'est pas rejetée : elle reste recevable, d'autres situations étant simplement prioritaires. Les libellés affichés à l'agent comme au demandeur doivent traduire cette distinction. Un rejet ne peut résulter que d'un contrôle de régularité en échec (§ 3.1), jamais d'un score insuffisant.</w:t>
      </w:r>
    </w:p>
    <w:tbl>
      <w:tblPr>
        <w:tblW w:type="dxa" w:w="9360"/>
        <w:tblBorders>
          <w:top w:val="none" w:color="FFFFFF" w:sz="0"/>
          <w:left w:val="none" w:color="FFFFFF" w:sz="0"/>
          <w:bottom w:val="none" w:color="FFFFFF" w:sz="0"/>
          <w:right w:val="none" w:color="FFFFFF" w:sz="0"/>
          <w:insideH w:val="single" w:color="E0E0DE" w:sz="4"/>
          <w:insideV w:val="none" w:color="FFFFFF" w:sz="0"/>
        </w:tblBorders>
      </w:tblPr>
      <w:tblGrid>
        <w:gridCol w:w="1900"/>
        <w:gridCol w:w="3600"/>
        <w:gridCol w:w="3860"/>
      </w:tblGrid>
      <w:tr>
        <w:tc>
          <w:tcPr>
            <w:tcW w:type="dxa" w:w="19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Verdict</w:t>
            </w:r>
          </w:p>
        </w:tc>
        <w:tc>
          <w:tcPr>
            <w:tcW w:type="dxa" w:w="36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Condition</w:t>
            </w:r>
          </w:p>
        </w:tc>
        <w:tc>
          <w:tcPr>
            <w:tcW w:type="dxa" w:w="386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Suite donnée</w:t>
            </w:r>
          </w:p>
        </w:tc>
      </w:tr>
      <w:tr>
        <w:tc>
          <w:tcPr>
            <w:tcW w:type="dxa" w:w="19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eligible</w:t>
            </w:r>
          </w:p>
        </w:tc>
        <w:tc>
          <w:tcPr>
            <w:tcW w:type="dxa" w:w="36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Les six vérifications aboutissent</w:t>
            </w:r>
          </w:p>
        </w:tc>
        <w:tc>
          <w:tcPr>
            <w:tcW w:type="dxa" w:w="38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Le dossier passe au paiement de la contribution</w:t>
            </w:r>
          </w:p>
        </w:tc>
      </w:tr>
      <w:tr>
        <w:tc>
          <w:tcPr>
            <w:tcW w:type="dxa" w:w="19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non_eligible</w:t>
            </w:r>
          </w:p>
        </w:tc>
        <w:tc>
          <w:tcPr>
            <w:tcW w:type="dxa" w:w="36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Une vérification échoue de manière certaine</w:t>
            </w:r>
          </w:p>
        </w:tc>
        <w:tc>
          <w:tcPr>
            <w:tcW w:type="dxa" w:w="38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Refus motivé, notifié, avec voie de recours</w:t>
            </w:r>
          </w:p>
        </w:tc>
      </w:tr>
      <w:tr>
        <w:tc>
          <w:tcPr>
            <w:tcW w:type="dxa" w:w="19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a_instruire</w:t>
            </w:r>
          </w:p>
        </w:tc>
        <w:tc>
          <w:tcPr>
            <w:tcW w:type="dxa" w:w="36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Une vérification est non concluante ou indisponible</w:t>
            </w:r>
          </w:p>
        </w:tc>
        <w:tc>
          <w:tcPr>
            <w:tcW w:type="dxa" w:w="38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Examen par un agent habilité, qui tranche</w:t>
            </w:r>
          </w:p>
        </w:tc>
      </w:tr>
    </w:tbl>
    <w:p>
      <w:pPr>
        <w:spacing w:after="80" w:before="0" w:line="245"/>
      </w:pPr>
      <w:r>
        <w:rPr>
          <w:rFonts w:ascii="Avenir" w:cs="Avenir" w:eastAsia="Avenir" w:hAnsi="Avenir"/>
          <w:b/>
          <w:bCs/>
          <w:i w:val="false"/>
          <w:iCs w:val="false"/>
          <w:color w:val="2256A3"/>
          <w:sz w:val="18"/>
          <w:szCs w:val="18"/>
        </w:rPr>
        <w:t xml:space="preserve">Le système recommande, l'agent décide. </w:t>
      </w:r>
      <w:r>
        <w:rPr>
          <w:rFonts w:ascii="Avenir" w:cs="Avenir" w:eastAsia="Avenir" w:hAnsi="Avenir"/>
          <w:b w:val="false"/>
          <w:bCs w:val="false"/>
          <w:i w:val="false"/>
          <w:iCs w:val="false"/>
          <w:color w:val="1D1D1B"/>
          <w:sz w:val="18"/>
          <w:szCs w:val="18"/>
        </w:rPr>
        <w:t xml:space="preserve">Le moteur ne prononce jamais un refus définitif de manière autonome. Pour les cas clairs, la décision suit la recommandation. Pour les cas ambigus, un agent habilité examine et tranche, et sa décision est enregistrée avec son identité. Cette règle est structurante : la responsabilité de l'attribution demeure humaine.</w:t>
      </w:r>
    </w:p>
    <w:p>
      <w:pPr>
        <w:spacing w:after="75" w:before="170"/>
      </w:pPr>
      <w:r>
        <w:rPr>
          <w:rFonts w:ascii="Avenir" w:cs="Avenir" w:eastAsia="Avenir" w:hAnsi="Avenir"/>
          <w:b/>
          <w:bCs/>
          <w:color w:val="2256A3"/>
          <w:sz w:val="17"/>
          <w:szCs w:val="17"/>
        </w:rPr>
        <w:t>3.4  Le profil d'usage déclaratif</w:t>
      </w:r>
    </w:p>
    <w:p>
      <w:pPr>
        <w:spacing w:after="80" w:before="0" w:line="245"/>
      </w:pPr>
      <w:r>
        <w:rPr>
          <w:rFonts w:ascii="Avenir" w:cs="Avenir" w:eastAsia="Avenir" w:hAnsi="Avenir"/>
          <w:b w:val="false"/>
          <w:bCs w:val="false"/>
          <w:i w:val="false"/>
          <w:iCs w:val="false"/>
          <w:caps w:val="false"/>
          <w:color w:val="1D1D1B"/>
          <w:sz w:val="18"/>
          <w:szCs w:val="18"/>
        </w:rPr>
        <w:t>Recueilli après l'attribution, à l'enrôlement, par une question unique — « À quoi souhaitez-vous surtout utiliser ce téléphone ? » — présentée à l'oral et à l'écrit, avec quatre à cinq pictogrammes et une option « autre ». Facultative : l'absence de réponse ne bloque rien et n'appelle aucune relance.</w:t>
      </w:r>
    </w:p>
    <w:p>
      <w:pPr>
        <w:spacing w:after="80" w:before="0" w:line="245"/>
      </w:pPr>
      <w:r>
        <w:rPr>
          <w:rFonts w:ascii="Avenir" w:cs="Avenir" w:eastAsia="Avenir" w:hAnsi="Avenir"/>
          <w:b/>
          <w:bCs w:val="false"/>
          <w:i w:val="false"/>
          <w:iCs w:val="false"/>
          <w:caps w:val="false"/>
          <w:color w:val="1D1D1B"/>
          <w:sz w:val="18"/>
          <w:szCs w:val="18"/>
        </w:rPr>
        <w:t xml:space="preserve">Séparation stricte des bases. </w:t>
      </w:r>
      <w:r>
        <w:rPr>
          <w:rFonts w:ascii="Avenir" w:hAnsi="Avenir"/>
          <w:b w:val="0"/>
          <w:sz w:val="18"/>
        </w:rPr>
        <w:t>Le profil est stocké dans le compte applicatif du bénéficiaire, techniquement séparé de la base d'éligibilité et de ciblage. Aucune interface, aucun export, aucune vue croisée entre les deux n'est admise. Le profil ne peut alimenter, directement ou indirectement, ni le score, ni les quotas, ni la décision d'attribution — y compris de façon différée ou statistique. Il est modifiable à tout moment par le bénéficiaire, sans justification. Cette séparation est une exigence d'architecture vérifiable, et non une simple règle de gestion.</w:t>
      </w:r>
    </w:p>
    <w:p>
      <w:pPr>
        <w:pBdr>
          <w:bottom w:val="single" w:color="2256A3" w:sz="10" w:space="5"/>
        </w:pBdr>
        <w:spacing w:after="100" w:before="215"/>
      </w:pPr>
      <w:r>
        <w:rPr>
          <w:rFonts w:ascii="Avenir" w:cs="Avenir" w:eastAsia="Avenir" w:hAnsi="Avenir"/>
          <w:b/>
          <w:bCs/>
          <w:color w:val="F08224"/>
          <w:sz w:val="19"/>
          <w:szCs w:val="19"/>
        </w:rPr>
        <w:t xml:space="preserve">4   </w:t>
      </w:r>
      <w:r>
        <w:rPr>
          <w:rFonts w:ascii="Avenir" w:cs="Avenir" w:eastAsia="Avenir" w:hAnsi="Avenir"/>
          <w:b/>
          <w:bCs/>
          <w:color w:val="2256A3"/>
          <w:sz w:val="19"/>
          <w:szCs w:val="19"/>
        </w:rPr>
        <w:t xml:space="preserve">Interrogation des bases externes</w:t>
      </w:r>
    </w:p>
    <w:p>
      <w:pPr>
        <w:spacing w:after="80" w:before="0" w:line="245"/>
      </w:pPr>
      <w:r>
        <w:rPr>
          <w:rFonts w:ascii="Avenir" w:cs="Avenir" w:eastAsia="Avenir" w:hAnsi="Avenir"/>
          <w:b/>
          <w:bCs/>
          <w:i w:val="false"/>
          <w:iCs w:val="false"/>
          <w:color w:val="B3261E"/>
          <w:sz w:val="18"/>
          <w:szCs w:val="18"/>
        </w:rPr>
        <w:t xml:space="preserve">Aucune convention d'accès n'est signée à ce jour. </w:t>
      </w:r>
      <w:r>
        <w:rPr>
          <w:rFonts w:ascii="Avenir" w:cs="Avenir" w:eastAsia="Avenir" w:hAnsi="Avenir"/>
          <w:b w:val="false"/>
          <w:bCs w:val="false"/>
          <w:i w:val="false"/>
          <w:iCs w:val="false"/>
          <w:color w:val="1D1D1B"/>
          <w:sz w:val="18"/>
          <w:szCs w:val="18"/>
        </w:rPr>
        <w:t xml:space="preserve">La plateforme doit être conçue pour fonctionner avant leur signature, et pour s'y adapter ensuite sans réécriture. Cela impose une abstraction : chaque base est vue par le moteur à travers une interface unique, dont l'implémentation varie.</w:t>
      </w:r>
    </w:p>
    <w:p>
      <w:pPr>
        <w:spacing w:after="75" w:before="170"/>
      </w:pPr>
      <w:r>
        <w:rPr>
          <w:rFonts w:ascii="Avenir" w:cs="Avenir" w:eastAsia="Avenir" w:hAnsi="Avenir"/>
          <w:b/>
          <w:bCs/>
          <w:color w:val="2256A3"/>
          <w:sz w:val="17"/>
          <w:szCs w:val="17"/>
        </w:rPr>
        <w:t xml:space="preserve">4.1  Trois modes à supporter</w:t>
      </w:r>
    </w:p>
    <w:tbl>
      <w:tblPr>
        <w:tblW w:type="dxa" w:w="9360"/>
        <w:tblBorders>
          <w:top w:val="none" w:color="FFFFFF" w:sz="0"/>
          <w:left w:val="none" w:color="FFFFFF" w:sz="0"/>
          <w:bottom w:val="none" w:color="FFFFFF" w:sz="0"/>
          <w:right w:val="none" w:color="FFFFFF" w:sz="0"/>
          <w:insideH w:val="single" w:color="E0E0DE" w:sz="4"/>
          <w:insideV w:val="none" w:color="FFFFFF" w:sz="0"/>
        </w:tblBorders>
      </w:tblPr>
      <w:tblGrid>
        <w:gridCol w:w="1700"/>
        <w:gridCol w:w="4400"/>
        <w:gridCol w:w="3260"/>
      </w:tblGrid>
      <w:tr>
        <w:tc>
          <w:tcPr>
            <w:tcW w:type="dxa" w:w="17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Mode</w:t>
            </w:r>
          </w:p>
        </w:tc>
        <w:tc>
          <w:tcPr>
            <w:tcW w:type="dxa" w:w="44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Fonctionnement</w:t>
            </w:r>
          </w:p>
        </w:tc>
        <w:tc>
          <w:tcPr>
            <w:tcW w:type="dxa" w:w="326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Quand</w:t>
            </w:r>
          </w:p>
        </w:tc>
      </w:tr>
      <w:tr>
        <w:tc>
          <w:tcPr>
            <w:tcW w:type="dxa" w:w="17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Fichier</w:t>
            </w:r>
          </w:p>
        </w:tc>
        <w:tc>
          <w:tcPr>
            <w:tcW w:type="dxa" w:w="4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Import périodique d'un extrait fourni par le partenaire, interrogé localement</w:t>
            </w:r>
          </w:p>
        </w:tc>
        <w:tc>
          <w:tcPr>
            <w:tcW w:type="dxa" w:w="32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Avant convention, ou si le partenaire ne peut pas exposer de service</w:t>
            </w:r>
          </w:p>
        </w:tc>
      </w:tr>
      <w:tr>
        <w:tc>
          <w:tcPr>
            <w:tcW w:type="dxa" w:w="17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Service</w:t>
            </w:r>
          </w:p>
        </w:tc>
        <w:tc>
          <w:tcPr>
            <w:tcW w:type="dxa" w:w="44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Interrogation unitaire en temps réel</w:t>
            </w:r>
          </w:p>
        </w:tc>
        <w:tc>
          <w:tcPr>
            <w:tcW w:type="dxa" w:w="32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Après convention et mise en place technique</w:t>
            </w:r>
          </w:p>
        </w:tc>
      </w:tr>
      <w:tr>
        <w:tc>
          <w:tcPr>
            <w:tcW w:type="dxa" w:w="17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Déclaratif</w:t>
            </w:r>
          </w:p>
        </w:tc>
        <w:tc>
          <w:tcPr>
            <w:tcW w:type="dxa" w:w="4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Saisie par l'agent, sans vérification automatique</w:t>
            </w:r>
          </w:p>
        </w:tc>
        <w:tc>
          <w:tcPr>
            <w:tcW w:type="dxa" w:w="32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Mode dégradé, produit systématiquement un verdict à_instruire</w:t>
            </w:r>
          </w:p>
        </w:tc>
      </w:tr>
    </w:tbl>
    <w:p>
      <w:pPr>
        <w:spacing w:after="80" w:before="70" w:line="245"/>
      </w:pPr>
      <w:r>
        <w:rPr>
          <w:rFonts w:ascii="Avenir" w:cs="Avenir" w:eastAsia="Avenir" w:hAnsi="Avenir"/>
          <w:b w:val="false"/>
          <w:bCs w:val="false"/>
          <w:i w:val="false"/>
          <w:iCs w:val="false"/>
          <w:caps w:val="false"/>
          <w:color w:val="1D1D1B"/>
          <w:sz w:val="18"/>
          <w:szCs w:val="18"/>
        </w:rPr>
        <w:t xml:space="preserve">Le mode retenu est configurable par source. Une même installation doit pouvoir interroger l'état civil en service et le registre social en fichier.</w:t>
      </w:r>
    </w:p>
    <w:p>
      <w:pPr>
        <w:spacing w:after="75" w:before="170"/>
      </w:pPr>
      <w:r>
        <w:rPr>
          <w:rFonts w:ascii="Avenir" w:cs="Avenir" w:eastAsia="Avenir" w:hAnsi="Avenir"/>
          <w:b/>
          <w:bCs/>
          <w:color w:val="2256A3"/>
          <w:sz w:val="17"/>
          <w:szCs w:val="17"/>
        </w:rPr>
        <w:t xml:space="preserve">4.2  Comportement en cas d'indisponibilité</w:t>
      </w:r>
    </w:p>
    <w:tbl>
      <w:tblPr>
        <w:tblW w:type="dxa" w:w="9360"/>
        <w:tblBorders>
          <w:top w:val="none" w:color="FFFFFF" w:sz="0"/>
          <w:left w:val="none" w:color="FFFFFF" w:sz="0"/>
          <w:bottom w:val="none" w:color="FFFFFF" w:sz="0"/>
          <w:right w:val="none" w:color="FFFFFF" w:sz="0"/>
          <w:insideH w:val="single" w:color="E0E0DE" w:sz="4"/>
          <w:insideV w:val="none" w:color="FFFFFF" w:sz="0"/>
        </w:tblBorders>
      </w:tblPr>
      <w:tblGrid>
        <w:gridCol w:w="3000"/>
        <w:gridCol w:w="6360"/>
      </w:tblGrid>
      <w:tr>
        <w:tc>
          <w:tcPr>
            <w:tcW w:type="dxa" w:w="30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Situation</w:t>
            </w:r>
          </w:p>
        </w:tc>
        <w:tc>
          <w:tcPr>
            <w:tcW w:type="dxa" w:w="636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Comportement attendu</w:t>
            </w:r>
          </w:p>
        </w:tc>
      </w:tr>
      <w:tr>
        <w:tc>
          <w:tcPr>
            <w:tcW w:type="dxa" w:w="30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Source injoignable</w:t>
            </w:r>
          </w:p>
        </w:tc>
        <w:tc>
          <w:tcPr>
            <w:tcW w:type="dxa" w:w="63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Verdict à_instruire. Ne jamais présumer l'éligibilité ni la refuser.</w:t>
            </w:r>
          </w:p>
        </w:tc>
      </w:tr>
      <w:tr>
        <w:tc>
          <w:tcPr>
            <w:tcW w:type="dxa" w:w="30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Réponse négative certaine</w:t>
            </w:r>
          </w:p>
        </w:tc>
        <w:tc>
          <w:tcPr>
            <w:tcW w:type="dxa" w:w="63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Verdict non_eligible, avec le motif restitué par la source.</w:t>
            </w:r>
          </w:p>
        </w:tc>
      </w:tr>
      <w:tr>
        <w:tc>
          <w:tcPr>
            <w:tcW w:type="dxa" w:w="30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Réponse ambiguë ou partielle</w:t>
            </w:r>
          </w:p>
        </w:tc>
        <w:tc>
          <w:tcPr>
            <w:tcW w:type="dxa" w:w="63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Verdict à_instruire, avec restitution de l'écart constaté à l'agent.</w:t>
            </w:r>
          </w:p>
        </w:tc>
      </w:tr>
      <w:tr>
        <w:tc>
          <w:tcPr>
            <w:tcW w:type="dxa" w:w="30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Délai de réponse dépassé</w:t>
            </w:r>
          </w:p>
        </w:tc>
        <w:tc>
          <w:tcPr>
            <w:tcW w:type="dxa" w:w="63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Verdict à_instruire. Le seuil de délai est paramétrable.</w:t>
            </w:r>
          </w:p>
        </w:tc>
      </w:tr>
    </w:tbl>
    <w:p>
      <w:pPr>
        <w:spacing w:after="80" w:before="0" w:line="245"/>
      </w:pPr>
      <w:r>
        <w:rPr>
          <w:rFonts w:ascii="Avenir" w:cs="Avenir" w:eastAsia="Avenir" w:hAnsi="Avenir"/>
          <w:b/>
          <w:bCs/>
          <w:i w:val="false"/>
          <w:iCs w:val="false"/>
          <w:color w:val="F08224"/>
          <w:sz w:val="18"/>
          <w:szCs w:val="18"/>
        </w:rPr>
        <w:t xml:space="preserve">Sur les concordances partielles. </w:t>
      </w:r>
      <w:r>
        <w:rPr>
          <w:rFonts w:ascii="Avenir" w:cs="Avenir" w:eastAsia="Avenir" w:hAnsi="Avenir"/>
          <w:b w:val="false"/>
          <w:bCs w:val="false"/>
          <w:i w:val="false"/>
          <w:iCs w:val="false"/>
          <w:color w:val="1D1D1B"/>
          <w:sz w:val="18"/>
          <w:szCs w:val="18"/>
        </w:rPr>
        <w:t xml:space="preserve">Une part des demandeurs présentera un écart entre le nom porté sur la pièce et celui enregistré ailleurs — variante d'orthographe, nom d'usage, pièce ancienne. Le moteur ne doit pas rejeter ces cas : il les oriente vers l'instruction, en affichant précisément l'écart constaté. Un rejet automatique écarterait une part de la population que le programme vise précisément.</w:t>
      </w:r>
    </w:p>
    <w:p>
      <w:pPr>
        <w:spacing w:after="75" w:before="170"/>
      </w:pPr>
      <w:r>
        <w:rPr>
          <w:rFonts w:ascii="Avenir" w:cs="Avenir" w:eastAsia="Avenir" w:hAnsi="Avenir"/>
          <w:b/>
          <w:bCs/>
          <w:color w:val="2256A3"/>
          <w:sz w:val="17"/>
          <w:szCs w:val="17"/>
        </w:rPr>
        <w:t xml:space="preserve">4.3  Données échangées</w:t>
      </w:r>
    </w:p>
    <w:p>
      <w:pPr>
        <w:spacing w:after="80" w:before="0" w:line="245"/>
      </w:pPr>
      <w:r>
        <w:rPr>
          <w:rFonts w:ascii="Avenir" w:cs="Avenir" w:eastAsia="Avenir" w:hAnsi="Avenir"/>
          <w:b w:val="false"/>
          <w:bCs w:val="false"/>
          <w:i w:val="false"/>
          <w:iCs w:val="false"/>
          <w:caps w:val="false"/>
          <w:color w:val="1D1D1B"/>
          <w:sz w:val="18"/>
          <w:szCs w:val="18"/>
        </w:rPr>
        <w:t xml:space="preserve">Principe de stricte nécessité : aucun champ n'est demandé s'il n'est utilisé par aucune règle. La liste des champs par source doit être configurable et documentée, chaque champ étant rattaché à la règle qui le consomme.</w:t>
      </w:r>
    </w:p>
    <w:p>
      <w:pPr>
        <w:spacing w:after="80" w:before="0" w:line="245"/>
      </w:pPr>
      <w:r>
        <w:rPr>
          <w:rFonts w:ascii="Avenir" w:cs="Avenir" w:eastAsia="Avenir" w:hAnsi="Avenir"/>
          <w:b/>
          <w:bCs w:val="false"/>
          <w:i w:val="false"/>
          <w:iCs w:val="false"/>
          <w:caps w:val="false"/>
          <w:color w:val="1D1D1B"/>
          <w:sz w:val="18"/>
          <w:szCs w:val="18"/>
        </w:rPr>
        <w:t xml:space="preserve">Donnée nouvelle requise. </w:t>
      </w:r>
      <w:r>
        <w:rPr>
          <w:rFonts w:ascii="Avenir" w:hAnsi="Avenir"/>
          <w:b w:val="0"/>
          <w:sz w:val="18"/>
        </w:rPr>
        <w:t>Parmi les champs demandés aux opérateurs mobiles, la date de dernière activité du terminal associé à la ligne est requise : elle conditionne l'appréciation du critère C1 (§ 3.2). Son absence ne bloque pas le traitement mais dégrade la note C1 vers la déclaration du demandeur seule, ce qui doit être tracé et signalé à l'agent.</w:t>
      </w:r>
    </w:p>
    <w:p>
      <w:pPr>
        <w:spacing w:after="80" w:before="0" w:line="245"/>
      </w:pPr>
      <w:r>
        <w:rPr>
          <w:rFonts w:ascii="Avenir" w:cs="Avenir" w:eastAsia="Avenir" w:hAnsi="Avenir"/>
          <w:b/>
          <w:bCs/>
          <w:i w:val="false"/>
          <w:iCs w:val="false"/>
          <w:color w:val="B3261E"/>
          <w:sz w:val="18"/>
          <w:szCs w:val="18"/>
        </w:rPr>
        <w:t xml:space="preserve">Un point à anticiper. </w:t>
      </w:r>
      <w:r>
        <w:rPr>
          <w:rFonts w:ascii="Avenir" w:cs="Avenir" w:eastAsia="Avenir" w:hAnsi="Avenir"/>
          <w:b w:val="false"/>
          <w:bCs w:val="false"/>
          <w:i w:val="false"/>
          <w:iCs w:val="false"/>
          <w:color w:val="1D1D1B"/>
          <w:sz w:val="18"/>
          <w:szCs w:val="18"/>
        </w:rPr>
        <w:t xml:space="preserve">Un projet de texte en cours d'adoption subordonnerait toute souscription à un service de communications électroniques à la production d'un document comportant le numéro national d'identification. Le modèle de données doit prévoir ce numéro dès maintenant, comme champ optionnel devenant obligatoire par configuration.</w:t>
      </w:r>
    </w:p>
    <w:p>
      <w:pPr>
        <w:pBdr>
          <w:bottom w:val="single" w:color="2256A3" w:sz="10" w:space="5"/>
        </w:pBdr>
        <w:spacing w:after="100" w:before="215"/>
      </w:pPr>
      <w:r>
        <w:rPr>
          <w:rFonts w:ascii="Avenir" w:cs="Avenir" w:eastAsia="Avenir" w:hAnsi="Avenir"/>
          <w:b/>
          <w:bCs/>
          <w:color w:val="F08224"/>
          <w:sz w:val="19"/>
          <w:szCs w:val="19"/>
        </w:rPr>
        <w:t xml:space="preserve">5   </w:t>
      </w:r>
      <w:r>
        <w:rPr>
          <w:rFonts w:ascii="Avenir" w:cs="Avenir" w:eastAsia="Avenir" w:hAnsi="Avenir"/>
          <w:b/>
          <w:bCs/>
          <w:color w:val="2256A3"/>
          <w:sz w:val="19"/>
          <w:szCs w:val="19"/>
        </w:rPr>
        <w:t xml:space="preserve">Traçabilité et reproductibilité</w:t>
      </w:r>
    </w:p>
    <w:tbl>
      <w:tblPr>
        <w:tblW w:type="dxa" w:w="9360"/>
        <w:tblBorders>
          <w:top w:val="none" w:color="FFFFFF" w:sz="0"/>
          <w:left w:val="none" w:color="FFFFFF" w:sz="0"/>
          <w:bottom w:val="none" w:color="FFFFFF" w:sz="0"/>
          <w:right w:val="none" w:color="FFFFFF" w:sz="0"/>
          <w:insideH w:val="single" w:color="E0E0DE" w:sz="4"/>
          <w:insideV w:val="none" w:color="FFFFFF" w:sz="0"/>
        </w:tblBorders>
      </w:tblPr>
      <w:tblGrid>
        <w:gridCol w:w="2900"/>
        <w:gridCol w:w="6460"/>
      </w:tblGrid>
      <w:tr>
        <w:tc>
          <w:tcPr>
            <w:tcW w:type="dxa" w:w="29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Exigence</w:t>
            </w:r>
          </w:p>
        </w:tc>
        <w:tc>
          <w:tcPr>
            <w:tcW w:type="dxa" w:w="646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Détail</w:t>
            </w:r>
          </w:p>
        </w:tc>
      </w:tr>
      <w:tr>
        <w:tc>
          <w:tcPr>
            <w:tcW w:type="dxa" w:w="29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Journalisation des décisions</w:t>
            </w:r>
          </w:p>
        </w:tc>
        <w:tc>
          <w:tcPr>
            <w:tcW w:type="dxa" w:w="64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Chaque verdict conserve les données interrogées, les réponses reçues, les règles appliquées et leur version</w:t>
            </w:r>
          </w:p>
        </w:tc>
      </w:tr>
      <w:tr>
        <w:tc>
          <w:tcPr>
            <w:tcW w:type="dxa" w:w="29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Reproductibilité du score</w:t>
            </w:r>
          </w:p>
        </w:tc>
        <w:tc>
          <w:tcPr>
            <w:tcW w:type="dxa" w:w="64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Un calcul doit pouvoir être rejoué à l'identique à partir des données et du jeu de poids archivés</w:t>
            </w:r>
          </w:p>
        </w:tc>
      </w:tr>
      <w:tr>
        <w:tc>
          <w:tcPr>
            <w:tcW w:type="dxa" w:w="29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Traçabilité des paramètres</w:t>
            </w:r>
          </w:p>
        </w:tc>
        <w:tc>
          <w:tcPr>
            <w:tcW w:type="dxa" w:w="64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Toute modification de seuil, de poids ou de configuration est horodatée et attribuée à son auteur</w:t>
            </w:r>
          </w:p>
        </w:tc>
      </w:tr>
      <w:tr>
        <w:tc>
          <w:tcPr>
            <w:tcW w:type="dxa" w:w="29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Dossier probant</w:t>
            </w:r>
          </w:p>
        </w:tc>
        <w:tc>
          <w:tcPr>
            <w:tcW w:type="dxa" w:w="64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Chaque remise conserve identifiant du terminal, photo, géolocalisation, horodatage, identité de l'agent</w:t>
            </w:r>
          </w:p>
        </w:tc>
      </w:tr>
      <w:tr>
        <w:tc>
          <w:tcPr>
            <w:tcW w:type="dxa" w:w="29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Conservation</w:t>
            </w:r>
          </w:p>
        </w:tc>
        <w:tc>
          <w:tcPr>
            <w:tcW w:type="dxa" w:w="64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Durée paramétrable, alignée sur les conventions et la réglementation applicable</w:t>
            </w:r>
          </w:p>
        </w:tc>
      </w:tr>
    </w:tbl>
    <w:p>
      <w:pPr>
        <w:pBdr>
          <w:bottom w:val="single" w:color="2256A3" w:sz="10" w:space="5"/>
        </w:pBdr>
        <w:spacing w:after="100" w:before="215"/>
      </w:pPr>
      <w:r>
        <w:rPr>
          <w:rFonts w:ascii="Avenir" w:cs="Avenir" w:eastAsia="Avenir" w:hAnsi="Avenir"/>
          <w:b/>
          <w:bCs/>
          <w:color w:val="F08224"/>
          <w:sz w:val="19"/>
          <w:szCs w:val="19"/>
        </w:rPr>
        <w:t xml:space="preserve">6   </w:t>
      </w:r>
      <w:r>
        <w:rPr>
          <w:rFonts w:ascii="Avenir" w:cs="Avenir" w:eastAsia="Avenir" w:hAnsi="Avenir"/>
          <w:b/>
          <w:bCs/>
          <w:color w:val="2256A3"/>
          <w:sz w:val="19"/>
          <w:szCs w:val="19"/>
        </w:rPr>
        <w:t xml:space="preserve">Paramètres à prévoir dès la conception</w:t>
      </w:r>
    </w:p>
    <w:p>
      <w:pPr>
        <w:spacing w:after="80" w:before="0" w:line="245"/>
      </w:pPr>
      <w:r>
        <w:rPr>
          <w:rFonts w:ascii="Avenir" w:cs="Avenir" w:eastAsia="Avenir" w:hAnsi="Avenir"/>
          <w:b w:val="false"/>
          <w:bCs w:val="false"/>
          <w:i w:val="false"/>
          <w:iCs w:val="false"/>
          <w:caps w:val="false"/>
          <w:color w:val="1D1D1B"/>
          <w:sz w:val="18"/>
          <w:szCs w:val="18"/>
        </w:rPr>
        <w:t xml:space="preserve">Aucune de ces valeurs n'est arrêtée. Toutes doivent être administrables.</w:t>
      </w:r>
    </w:p>
    <w:tbl>
      <w:tblPr>
        <w:tblW w:type="dxa" w:w="9360"/>
        <w:tblBorders>
          <w:top w:val="none" w:color="FFFFFF" w:sz="0"/>
          <w:left w:val="none" w:color="FFFFFF" w:sz="0"/>
          <w:bottom w:val="none" w:color="FFFFFF" w:sz="0"/>
          <w:right w:val="none" w:color="FFFFFF" w:sz="0"/>
          <w:insideH w:val="single" w:color="E0E0DE" w:sz="4"/>
          <w:insideV w:val="none" w:color="FFFFFF" w:sz="0"/>
        </w:tblBorders>
      </w:tblPr>
      <w:tblGrid>
        <w:gridCol w:w="3400"/>
        <w:gridCol w:w="2400"/>
        <w:gridCol w:w="3560"/>
      </w:tblGrid>
      <w:tr>
        <w:tc>
          <w:tcPr>
            <w:tcW w:type="dxa" w:w="34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Paramètre</w:t>
            </w:r>
          </w:p>
        </w:tc>
        <w:tc>
          <w:tcPr>
            <w:tcW w:type="dxa" w:w="240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Nature</w:t>
            </w:r>
          </w:p>
        </w:tc>
        <w:tc>
          <w:tcPr>
            <w:tcW w:type="dxa" w:w="3560"/>
            <w:shd w:fill="2256A3"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FFFFFF"/>
                <w:sz w:val="15"/>
                <w:szCs w:val="15"/>
              </w:rPr>
              <w:t xml:space="preserve">Valeur indicative</w:t>
            </w:r>
          </w:p>
        </w:tc>
      </w:tr>
      <w:tr>
        <w:tc>
          <w:tcPr>
            <w:tcW w:type="dxa" w:w="34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Base d'identification sociale retenue</w:t>
            </w:r>
          </w:p>
        </w:tc>
        <w:tc>
          <w:tcPr>
            <w:tcW w:type="dxa" w:w="2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Choix de source</w:t>
            </w:r>
          </w:p>
        </w:tc>
        <w:tc>
          <w:tcPr>
            <w:tcW w:type="dxa" w:w="35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Non arrêtée</w:t>
            </w:r>
          </w:p>
        </w:tc>
      </w:tr>
      <w:tr>
        <w:tc>
          <w:tcPr>
            <w:tcW w:type="dxa" w:w="34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Âge minimum du bénéficiaire</w:t>
            </w:r>
          </w:p>
        </w:tc>
        <w:tc>
          <w:tcPr>
            <w:tcW w:type="dxa" w:w="24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Entier</w:t>
            </w:r>
          </w:p>
        </w:tc>
        <w:tc>
          <w:tcPr>
            <w:tcW w:type="dxa" w:w="35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18 ans</w:t>
            </w:r>
          </w:p>
        </w:tc>
      </w:tr>
      <w:tr>
        <w:tc>
          <w:tcPr>
            <w:tcW w:type="dxa" w:w="34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Période de non-cumul</w:t>
            </w:r>
          </w:p>
        </w:tc>
        <w:tc>
          <w:tcPr>
            <w:tcW w:type="dxa" w:w="2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Durée</w:t>
            </w:r>
          </w:p>
        </w:tc>
        <w:tc>
          <w:tcPr>
            <w:tcW w:type="dxa" w:w="35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Non arrêtée</w:t>
            </w:r>
          </w:p>
        </w:tc>
      </w:tr>
      <w:tr>
        <w:tc>
          <w:tcPr>
            <w:tcW w:type="dxa" w:w="34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Ancienneté minimale de la ligne mobile</w:t>
            </w:r>
          </w:p>
        </w:tc>
        <w:tc>
          <w:tcPr>
            <w:tcW w:type="dxa" w:w="24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Durée</w:t>
            </w:r>
          </w:p>
        </w:tc>
        <w:tc>
          <w:tcPr>
            <w:tcW w:type="dxa" w:w="35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Non arrêtée</w:t>
            </w:r>
          </w:p>
        </w:tc>
      </w:tr>
      <w:tr>
        <w:tc>
          <w:tcPr>
            <w:tcW w:type="dxa" w:w="34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Poids des cinq critères du score territorial</w:t>
            </w:r>
          </w:p>
        </w:tc>
        <w:tc>
          <w:tcPr>
            <w:tcW w:type="dxa" w:w="2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Cinq entiers</w:t>
            </w:r>
          </w:p>
        </w:tc>
        <w:tc>
          <w:tcPr>
            <w:tcW w:type="dxa" w:w="35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30 / 25 / 20 / 15 / 10</w:t>
            </w:r>
          </w:p>
        </w:tc>
      </w:tr>
      <w:tr>
        <w:tc>
          <w:tcPr>
            <w:tcW w:type="dxa" w:w="34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Clé score / réserve d'arbitrage</w:t>
            </w:r>
          </w:p>
        </w:tc>
        <w:tc>
          <w:tcPr>
            <w:tcW w:type="dxa" w:w="24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Pourcentage</w:t>
            </w:r>
          </w:p>
        </w:tc>
        <w:tc>
          <w:tcPr>
            <w:tcW w:type="dxa" w:w="35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75 / 25</w:t>
            </w:r>
          </w:p>
        </w:tc>
      </w:tr>
      <w:tr>
        <w:tc>
          <w:tcPr>
            <w:tcW w:type="dxa" w:w="34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Plancher et plafond régionaux</w:t>
            </w:r>
          </w:p>
        </w:tc>
        <w:tc>
          <w:tcPr>
            <w:tcW w:type="dxa" w:w="2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Deux valeurs</w:t>
            </w:r>
          </w:p>
        </w:tc>
        <w:tc>
          <w:tcPr>
            <w:tcW w:type="dxa" w:w="35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Non arrêtées</w:t>
            </w:r>
          </w:p>
        </w:tc>
      </w:tr>
      <w:tr>
        <w:tc>
          <w:tcPr>
            <w:tcW w:type="dxa" w:w="3400"/>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Délai maximal d'interrogation d'une source</w:t>
            </w:r>
          </w:p>
        </w:tc>
        <w:tc>
          <w:tcPr>
            <w:tcW w:type="dxa" w:w="240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Durée</w:t>
            </w:r>
          </w:p>
        </w:tc>
        <w:tc>
          <w:tcPr>
            <w:tcW w:type="dxa" w:w="3560"/>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À calibrer</w:t>
            </w:r>
          </w:p>
        </w:tc>
      </w:tr>
      <w:tr>
        <w:tc>
          <w:tcPr>
            <w:tcW w:type="dxa" w:w="3400"/>
            <w:shd w:fill="F5F6F8" w:color="auto" w:val="clear"/>
            <w:tcMar>
              <w:top w:type="dxa" w:w="58"/>
              <w:left w:type="dxa" w:w="92"/>
              <w:bottom w:type="dxa" w:w="58"/>
              <w:right w:type="dxa" w:w="92"/>
            </w:tcMar>
          </w:tcPr>
          <w:p>
            <w:pPr>
              <w:spacing w:after="0" w:before="0" w:line="245"/>
            </w:pPr>
            <w:r>
              <w:rPr>
                <w:rFonts w:ascii="Avenir" w:cs="Avenir" w:eastAsia="Avenir" w:hAnsi="Avenir"/>
                <w:b/>
                <w:bCs/>
                <w:i w:val="false"/>
                <w:iCs w:val="false"/>
                <w:caps w:val="false"/>
                <w:color w:val="1D1D1B"/>
                <w:sz w:val="15"/>
                <w:szCs w:val="15"/>
              </w:rPr>
              <w:t xml:space="preserve">Mode d'accès par source</w:t>
            </w:r>
          </w:p>
        </w:tc>
        <w:tc>
          <w:tcPr>
            <w:tcW w:type="dxa" w:w="240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Fichier / Service / Déclaratif</w:t>
            </w:r>
          </w:p>
        </w:tc>
        <w:tc>
          <w:tcPr>
            <w:tcW w:type="dxa" w:w="3560"/>
            <w:shd w:fill="F5F6F8" w:color="auto" w:val="clear"/>
            <w:tcMar>
              <w:top w:type="dxa" w:w="58"/>
              <w:left w:type="dxa" w:w="92"/>
              <w:bottom w:type="dxa" w:w="58"/>
              <w:right w:type="dxa" w:w="92"/>
            </w:tcMar>
          </w:tcPr>
          <w:p>
            <w:pPr>
              <w:spacing w:after="0" w:before="0" w:line="245"/>
            </w:pPr>
            <w:r>
              <w:rPr>
                <w:rFonts w:ascii="Avenir" w:cs="Avenir" w:eastAsia="Avenir" w:hAnsi="Avenir"/>
                <w:b w:val="false"/>
                <w:bCs w:val="false"/>
                <w:i w:val="false"/>
                <w:iCs w:val="false"/>
                <w:caps w:val="false"/>
                <w:color w:val="1D1D1B"/>
                <w:sz w:val="15"/>
                <w:szCs w:val="15"/>
              </w:rPr>
              <w:t xml:space="preserve">Par source</w:t>
            </w:r>
          </w:p>
        </w:tc>
      </w:tr>
      <w:tr>
        <w:tc>
          <w:tcPr>
            <w:tcW w:type="dxa" w:w="3400"/>
          </w:tcPr>
          <w:p>
            <w:r>
              <w:t>Poids des cinq dimensions du score individuel (C1 à C5)</w:t>
            </w:r>
          </w:p>
        </w:tc>
        <w:tc>
          <w:tcPr>
            <w:tcW w:type="dxa" w:w="2400"/>
          </w:tcPr>
          <w:p>
            <w:r>
              <w:t>Cinq entiers</w:t>
            </w:r>
          </w:p>
        </w:tc>
        <w:tc>
          <w:tcPr>
            <w:tcW w:type="dxa" w:w="3560"/>
          </w:tcPr>
          <w:p>
            <w:r>
              <w:t>Non arrêtés — somme = 100</w:t>
            </w:r>
          </w:p>
        </w:tc>
      </w:tr>
      <w:tr>
        <w:tc>
          <w:tcPr>
            <w:tcW w:type="dxa" w:w="3400"/>
          </w:tcPr>
          <w:p>
            <w:r>
              <w:t>Seuils de priorité P1 / P2 / P3 / P4</w:t>
            </w:r>
          </w:p>
        </w:tc>
        <w:tc>
          <w:tcPr>
            <w:tcW w:type="dxa" w:w="2400"/>
          </w:tcPr>
          <w:p>
            <w:r>
              <w:t>Trois valeurs</w:t>
            </w:r>
          </w:p>
        </w:tc>
        <w:tc>
          <w:tcPr>
            <w:tcW w:type="dxa" w:w="3560"/>
          </w:tcPr>
          <w:p>
            <w:r>
              <w:t>Non arrêtés</w:t>
            </w:r>
          </w:p>
        </w:tc>
      </w:tr>
      <w:tr>
        <w:tc>
          <w:tcPr>
            <w:tcW w:type="dxa" w:w="3400"/>
          </w:tcPr>
          <w:p>
            <w:r>
              <w:t>Seuil d'inactivité d'un terminal (critère C1)</w:t>
            </w:r>
          </w:p>
        </w:tc>
        <w:tc>
          <w:tcPr>
            <w:tcW w:type="dxa" w:w="2400"/>
          </w:tcPr>
          <w:p>
            <w:r>
              <w:t>Durée</w:t>
            </w:r>
          </w:p>
        </w:tc>
        <w:tc>
          <w:tcPr>
            <w:tcW w:type="dxa" w:w="3560"/>
          </w:tcPr>
          <w:p>
            <w:r>
              <w:t>Non arrêté — hypothèse : 4 mois</w:t>
            </w:r>
          </w:p>
        </w:tc>
      </w:tr>
      <w:tr>
        <w:tc>
          <w:tcPr>
            <w:tcW w:type="dxa" w:w="3400"/>
          </w:tcPr>
          <w:p>
            <w:r>
              <w:t>Politique de remplacement d'un smartphone 3G actif</w:t>
            </w:r>
          </w:p>
        </w:tc>
        <w:tc>
          <w:tcPr>
            <w:tcW w:type="dxa" w:w="2400"/>
          </w:tcPr>
          <w:p>
            <w:r>
              <w:t>Choix binaire</w:t>
            </w:r>
          </w:p>
        </w:tc>
        <w:tc>
          <w:tcPr>
            <w:tcW w:type="dxa" w:w="3560"/>
          </w:tcPr>
          <w:p>
            <w:r>
              <w:t>Non arrêtée — exclusion du besoin, ou priorité réduite</w:t>
            </w:r>
          </w:p>
        </w:tc>
      </w:tr>
    </w:tbl>
    <w:p>
      <w:pPr>
        <w:spacing w:after="80" w:before="0" w:line="245"/>
      </w:pPr>
      <w:r>
        <w:rPr>
          <w:rFonts w:ascii="Avenir" w:cs="Avenir" w:eastAsia="Avenir" w:hAnsi="Avenir"/>
          <w:b/>
          <w:bCs/>
          <w:i w:val="false"/>
          <w:iCs w:val="false"/>
          <w:color w:val="2256A3"/>
          <w:sz w:val="18"/>
          <w:szCs w:val="18"/>
        </w:rPr>
        <w:t xml:space="preserve">Enfin. </w:t>
      </w:r>
      <w:r>
        <w:rPr>
          <w:rFonts w:ascii="Avenir" w:cs="Avenir" w:eastAsia="Avenir" w:hAnsi="Avenir"/>
          <w:b w:val="false"/>
          <w:bCs w:val="false"/>
          <w:i w:val="false"/>
          <w:iCs w:val="false"/>
          <w:color w:val="1D1D1B"/>
          <w:sz w:val="18"/>
          <w:szCs w:val="18"/>
        </w:rPr>
        <w:t xml:space="preserve">Tout environnement autre que la production doit afficher une mention SIMULÉ visible sur chaque écran comportant des données de vérification. Le risque n'est pas qu'une démonstration soit jugée imparfaite, mais qu'elle soit prise pour un système raccordé aux référentiels nationaux.</w:t>
      </w:r>
    </w:p>
    <w:p>
      <w:pPr>
        <w:spacing w:after="80" w:before="170" w:line="245"/>
      </w:pPr>
      <w:r>
        <w:rPr>
          <w:rFonts w:ascii="Avenir" w:cs="Avenir" w:eastAsia="Avenir" w:hAnsi="Avenir"/>
          <w:b w:val="false"/>
          <w:bCs w:val="false"/>
          <w:i/>
          <w:iCs/>
          <w:caps w:val="false"/>
          <w:color w:val="878787"/>
          <w:sz w:val="16"/>
          <w:szCs w:val="16"/>
        </w:rPr>
        <w:t xml:space="preserve">Document de travail interne. Les règles métier détaillées et les jeux d'essai sont fournis séparément.</w:t>
      </w:r>
    </w:p>
    <w:p>
      <w:pPr>
        <w:pBdr>
          <w:bottom w:val="single" w:color="2256A3" w:sz="10" w:space="5"/>
        </w:pBdr>
        <w:spacing w:after="100" w:before="215"/>
      </w:pPr>
      <w:r>
        <w:rPr>
          <w:rFonts w:ascii="Avenir" w:cs="Avenir" w:eastAsia="Avenir" w:hAnsi="Avenir"/>
          <w:b/>
          <w:bCs/>
          <w:color w:val="F08224"/>
          <w:sz w:val="19"/>
          <w:szCs w:val="19"/>
        </w:rPr>
        <w:t>7   Articulation avec le prototype et l'appel à projets</w:t>
      </w:r>
    </w:p>
    <w:p>
      <w:pPr>
        <w:spacing w:after="80" w:before="0" w:line="245"/>
      </w:pPr>
      <w:r>
        <w:rPr>
          <w:rFonts w:ascii="Avenir" w:cs="Avenir" w:eastAsia="Avenir" w:hAnsi="Avenir"/>
          <w:b/>
          <w:bCs w:val="false"/>
          <w:i w:val="false"/>
          <w:iCs w:val="false"/>
          <w:caps w:val="false"/>
          <w:color w:val="1D1D1B"/>
          <w:sz w:val="18"/>
          <w:szCs w:val="18"/>
        </w:rPr>
        <w:t xml:space="preserve">Le prototype existant. </w:t>
      </w:r>
      <w:r>
        <w:rPr>
          <w:rFonts w:ascii="Avenir" w:hAnsi="Avenir"/>
          <w:b w:val="0"/>
          <w:sz w:val="18"/>
        </w:rPr>
        <w:t>Un prototype fonctionnel démontre déjà une partie des règles du présent cahier des charges, avec un catalogue de règles métier référencées (RM-004 unicité de pièce d'identité, RM-032 non-cumul, RM-034 quota de campagne, RM-069 numéro de dossier unique, RM-091 remise sur dossier validé, RM-092 irréversibilité de la décision, RM-097/RM-111 unicité du terminal et de l'IMEI, RM-151 journalisation, RM-181 dossier probant, RM-184/185 consentement, RM-197 séparation du reçu et de la preuve), appliquées au niveau de la base de données. Ce prototype est fourni comme référence illustrative, non contraignante, à l'appel à projets de la plateforme numérique — les candidats peuvent le tester en conditions réelles sans être tenus d'en reprendre le code.</w:t>
      </w:r>
    </w:p>
    <w:p>
      <w:pPr>
        <w:spacing w:after="80" w:before="0" w:line="245"/>
      </w:pPr>
      <w:r>
        <w:rPr>
          <w:rFonts w:ascii="Avenir" w:cs="Avenir" w:eastAsia="Avenir" w:hAnsi="Avenir"/>
          <w:b/>
          <w:bCs w:val="false"/>
          <w:i w:val="false"/>
          <w:iCs w:val="false"/>
          <w:caps w:val="false"/>
          <w:color w:val="1D1D1B"/>
          <w:sz w:val="18"/>
          <w:szCs w:val="18"/>
        </w:rPr>
        <w:t xml:space="preserve">Rattachement à l'appel à projets. </w:t>
      </w:r>
      <w:r>
        <w:rPr>
          <w:rFonts w:ascii="Avenir" w:hAnsi="Avenir"/>
          <w:b w:val="0"/>
          <w:sz w:val="18"/>
        </w:rPr>
        <w:t>Le présent cahier des charges couvre les modules « Référentiel et gouvernance du ciblage » et « Enrôlement et éligibilité » de l'appel à projets de la plateforme (19 août 2026). Il en constitue la spécification fonctionnelle de référence, à joindre en annexe.</w:t>
      </w:r>
    </w:p>
    <w:p>
      <w:pPr>
        <w:spacing w:after="80" w:before="0" w:line="245"/>
      </w:pPr>
      <w:r>
        <w:rPr>
          <w:rFonts w:ascii="Avenir" w:cs="Avenir" w:eastAsia="Avenir" w:hAnsi="Avenir"/>
          <w:b/>
          <w:bCs w:val="false"/>
          <w:i w:val="false"/>
          <w:iCs w:val="false"/>
          <w:caps w:val="false"/>
          <w:color w:val="1D1D1B"/>
          <w:sz w:val="18"/>
          <w:szCs w:val="18"/>
        </w:rPr>
        <w:t xml:space="preserve">Renvoi aux décisions C-1 à C-8. </w:t>
      </w:r>
      <w:r>
        <w:rPr>
          <w:rFonts w:ascii="Avenir" w:hAnsi="Avenir"/>
          <w:b w:val="0"/>
          <w:sz w:val="18"/>
        </w:rPr>
        <w:t>Les paramètres non arrêtés du § 6 recoupent les décisions C-1 à C-8 de la revue du ciblage du 18 août (poids du score, clé score/réserve, plancher et plafond régionaux, base d'ayant droit, durée de non-cumul, seuil de ligne). Le statu quo est cohérent entre les deux documents : ce cahier des charges exige que ces valeurs soient administrables, la revue du ciblage identifie qui doit les arrêter — les deux exigences se complètent sans se contredire.</w:t>
      </w:r>
    </w:p>
    <w:sectPr>
      <w:footerReference w:type="default" r:id="rId7"/>
      <w:pgSz w:w="11906" w:h="16838" w:orient="portrait"/>
      <w:pgMar w:top="8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venir" w:cs="Avenir" w:eastAsia="Avenir" w:hAnsi="Avenir"/>
        <w:color w:val="878787"/>
        <w:sz w:val="14"/>
        <w:szCs w:val="14"/>
      </w:rPr>
      <w:t xml:space="preserve">PASS — Moteur d'éligibilité   ·   </w:t>
    </w:r>
    <w:r>
      <w:rPr>
        <w:rFonts w:ascii="Avenir" w:cs="Avenir" w:eastAsia="Avenir" w:hAnsi="Avenir"/>
        <w:color w:val="87878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venir" w:cs="Avenir" w:eastAsia="Avenir" w:hAnsi="Avenir"/>
        <w:color w:val="1D1D1B"/>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4350f74e42167aa826ab10858606874e75cfd74.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2026-08-03T10:27:52.894Z</dcterms:created>
  <dcterms:modified xsi:type="dcterms:W3CDTF">2026-08-03T10:27:52.895Z</dcterms:modified>
</cp:coreProperties>
</file>

<file path=docProps/custom.xml><?xml version="1.0" encoding="utf-8"?>
<Properties xmlns="http://schemas.openxmlformats.org/officeDocument/2006/custom-properties" xmlns:vt="http://schemas.openxmlformats.org/officeDocument/2006/docPropsVTypes"/>
</file>