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34"/>
          <w:szCs w:val="34"/>
        </w:rPr>
        <w:t xml:space="preserve">PASS — Interfaces avec les registres d’identité</w:t>
      </w:r>
    </w:p>
    <w:p>
      <w:pPr>
        <w:spacing w:after="60"/>
        <w:jc w:val="center"/>
      </w:pPr>
      <w:r>
        <w:rPr>
          <w:b/>
          <w:bCs/>
          <w:color w:val="C55A11"/>
          <w:sz w:val="24"/>
          <w:szCs w:val="24"/>
        </w:rPr>
        <w:t xml:space="preserve">RNPP (ONECI), CMU (CNAM) et Registre Social Unique : cahier des charges soumis à concertation</w:t>
      </w:r>
    </w:p>
    <w:p>
      <w:pPr>
        <w:spacing w:after="240"/>
        <w:jc w:val="center"/>
      </w:pPr>
      <w:r>
        <w:rPr>
          <w:i/>
          <w:iCs/>
          <w:color w:val="595959"/>
          <w:sz w:val="20"/>
          <w:szCs w:val="20"/>
        </w:rPr>
        <w:t xml:space="preserve">DTDI · 7 septembre 2026 · version pour concertation</w:t>
      </w:r>
    </w:p>
    <w:p>
      <w:pPr>
        <w:spacing w:after="160" w:before="0"/>
        <w:jc w:val="both"/>
      </w:pPr>
      <w:r>
        <w:rPr>
          <w:b w:val="false"/>
          <w:bCs w:val="false"/>
          <w:i/>
          <w:iCs/>
          <w:sz w:val="22"/>
          <w:szCs w:val="22"/>
        </w:rPr>
        <w:t xml:space="preserve">Le présent document définit ce que le programme PASS attend des échanges avec les référentiels nationaux d'identité et de vulnérabilité sociale : le Registre National des Personnes Physiques (RNPP, ONECI), le registre de la Couverture Maladie Universelle (CMU, CNAM), et le Registre Social Unique (RSU). Il est le pendant du cahier des charges des interfaces opérateurs et suit les mêmes règles de lecture : FIGÉ (règle du programme), PARAM. (fixé par campagne), CONCERT. (à arrêter avec les registres et l'ARTCI).</w:t>
      </w:r>
    </w:p>
    <w:p>
      <w:pPr>
        <w:pStyle w:val="Heading1"/>
        <w:spacing w:after="160" w:before="320"/>
      </w:pPr>
      <w:r>
        <w:rPr>
          <w:b/>
          <w:bCs/>
          <w:color w:val="1F3864"/>
          <w:sz w:val="28"/>
          <w:szCs w:val="28"/>
        </w:rPr>
        <w:t xml:space="preserve">1. Pourquoi deux registres</w:t>
      </w:r>
    </w:p>
    <w:p>
      <w:pPr>
        <w:spacing w:after="160" w:before="0"/>
        <w:jc w:val="both"/>
      </w:pPr>
      <w:r>
        <w:rPr>
          <w:b w:val="false"/>
          <w:bCs w:val="false"/>
          <w:i w:val="false"/>
          <w:iCs w:val="false"/>
          <w:sz w:val="22"/>
          <w:szCs w:val="22"/>
        </w:rPr>
        <w:t xml:space="preserve">Le RNPP est le registre fondamental : il attribue un Numéro National d'Identification unique à toute personne enrôlée — nationaux, qui reçoivent la carte nationale d'identité, et étrangers résidents, qui reçoivent un titre de résident. L'enrôlement y est payant et suppose des pièces d'état civil, ce qui en écarte une partie des publics visés. Le registre CMU est fonctionnel et massif : 23 millions de personnes enrôlées au 15 décembre 2025, dont 13 millions du secteur informel, par un enrôlement biométrique gratuit conduit jusque dans les villages et les marchés. Les deux sont biométriques. PASS accepte l'un ou l'autre.</w:t>
      </w:r>
    </w:p>
    <w:p>
      <w:pPr>
        <w:spacing w:after="160" w:before="0"/>
        <w:jc w:val="both"/>
      </w:pPr>
      <w:r>
        <w:rPr>
          <w:b w:val="false"/>
          <w:bCs w:val="false"/>
          <w:i/>
          <w:iCs/>
          <w:sz w:val="22"/>
          <w:szCs w:val="22"/>
        </w:rPr>
        <w:t xml:space="preserve">PASS ne pose aucune condition de nationalité : toute personne majeure enrôlée dans l'un des deux registres peut satisfaire la condition d'identité. À DÉFINIR — confirmer que ce principe est bien celui du programme.</w:t>
      </w:r>
    </w:p>
    <w:tbl>
      <w:tblPr>
        <w:tblW w:type="dxa" w:w="9360"/>
        <w:tblBorders>
          <w:top w:val="single" w:color="1F3864" w:sz="6"/>
          <w:left w:val="single" w:color="1F3864" w:sz="6"/>
          <w:bottom w:val="single" w:color="1F3864" w:sz="6"/>
          <w:right w:val="single" w:color="1F3864" w:sz="6"/>
          <w:insideH w:val="single" w:color="auto" w:sz="4"/>
          <w:insideV w:val="single" w:color="auto" w:sz="4"/>
        </w:tblBorders>
      </w:tblPr>
      <w:tblGrid>
        <w:gridCol w:w="9360"/>
      </w:tblGrid>
      <w:tr>
        <w:tc>
          <w:tcPr>
            <w:tcW w:type="dxa" w:w="9360"/>
            <w:shd w:fill="EEF2F8" w:val="clear"/>
            <w:tcMar>
              <w:top w:type="dxa" w:w="140"/>
              <w:left w:type="dxa" w:w="200"/>
              <w:bottom w:type="dxa" w:w="140"/>
              <w:right w:type="dxa" w:w="200"/>
            </w:tcMar>
          </w:tcPr>
          <w:p>
            <w:pPr>
              <w:spacing w:after="100"/>
              <w:jc w:val="both"/>
            </w:pPr>
            <w:r>
              <w:rPr>
                <w:b/>
                <w:bCs/>
                <w:i w:val="false"/>
                <w:iCs w:val="false"/>
                <w:sz w:val="22"/>
                <w:szCs w:val="22"/>
              </w:rPr>
              <w:t xml:space="preserve">Trois principes FIGÉS</w:t>
            </w:r>
          </w:p>
          <w:p>
            <w:pPr>
              <w:spacing w:after="100"/>
              <w:jc w:val="both"/>
            </w:pPr>
            <w:r>
              <w:rPr>
                <w:b w:val="false"/>
                <w:bCs w:val="false"/>
                <w:i w:val="false"/>
                <w:iCs w:val="false"/>
                <w:sz w:val="22"/>
                <w:szCs w:val="22"/>
              </w:rPr>
              <w:t xml:space="preserve">Minimisation — PASS pose des questions fermées et reçoit des réponses fermées. Il ne reçoit aucune donnée de santé, de filiation, d'adresse ni de situation sociale. La CMU vérifie une identité, jamais un dossier de santé.</w:t>
            </w:r>
          </w:p>
          <w:p>
            <w:pPr>
              <w:spacing w:after="100"/>
              <w:jc w:val="both"/>
            </w:pPr>
            <w:r>
              <w:rPr>
                <w:b w:val="false"/>
                <w:bCs w:val="false"/>
                <w:i w:val="false"/>
                <w:iCs w:val="false"/>
                <w:sz w:val="22"/>
                <w:szCs w:val="22"/>
              </w:rPr>
              <w:t xml:space="preserve">Équivalence — les deux voies produisent la même éligibilité. Aucune n'est privilégiée ; le demandeur utilise celle dont il dispose.</w:t>
            </w:r>
          </w:p>
          <w:p>
            <w:pPr>
              <w:spacing w:after="0"/>
              <w:jc w:val="both"/>
            </w:pPr>
            <w:r>
              <w:rPr>
                <w:b w:val="false"/>
                <w:bCs w:val="false"/>
                <w:i w:val="false"/>
                <w:iCs w:val="false"/>
                <w:sz w:val="22"/>
                <w:szCs w:val="22"/>
              </w:rPr>
              <w:t xml:space="preserve">Aucun rejet automatique — une concordance partielle n'est jamais un refus. Elle déclenche un traitement, pas une exclusion.</w:t>
            </w:r>
          </w:p>
        </w:tc>
      </w:tr>
    </w:tbl>
    <w:p>
      <w:pPr>
        <w:pStyle w:val="Heading1"/>
        <w:spacing w:after="160" w:before="320"/>
      </w:pPr>
      <w:r>
        <w:rPr>
          <w:b/>
          <w:bCs/>
          <w:color w:val="1F3864"/>
          <w:sz w:val="28"/>
          <w:szCs w:val="28"/>
        </w:rPr>
        <w:t xml:space="preserve">2. Les cinq services attendus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50"/>
        <w:gridCol w:w="2650"/>
        <w:gridCol w:w="1900"/>
        <w:gridCol w:w="1500"/>
        <w:gridCol w:w="1860"/>
      </w:tblGrid>
      <w:tr>
        <w:trPr>
          <w:tblHeader/>
        </w:trPr>
        <w:tc>
          <w:tcPr>
            <w:tcW w:type="dxa" w:w="1650"/>
            <w:shd w:fill="1F3864" w:val="clear"/>
            <w:tcMar>
              <w:top w:type="dxa" w:w="80"/>
              <w:left w:type="dxa" w:w="120"/>
              <w:bottom w:type="dxa" w:w="80"/>
              <w:right w:type="dxa" w:w="120"/>
            </w:tcMar>
          </w:tcPr>
          <w:p>
            <w:pPr>
              <w:spacing w:after="0"/>
            </w:pPr>
            <w:r>
              <w:rPr>
                <w:b/>
                <w:bCs/>
                <w:color w:val="FFFFFF"/>
                <w:sz w:val="20"/>
                <w:szCs w:val="20"/>
              </w:rPr>
              <w:t xml:space="preserve">Service</w:t>
            </w:r>
          </w:p>
        </w:tc>
        <w:tc>
          <w:tcPr>
            <w:tcW w:type="dxa" w:w="2650"/>
            <w:shd w:fill="1F3864" w:val="clear"/>
            <w:tcMar>
              <w:top w:type="dxa" w:w="80"/>
              <w:left w:type="dxa" w:w="120"/>
              <w:bottom w:type="dxa" w:w="80"/>
              <w:right w:type="dxa" w:w="120"/>
            </w:tcMar>
          </w:tcPr>
          <w:p>
            <w:pPr>
              <w:spacing w:after="0"/>
            </w:pPr>
            <w:r>
              <w:rPr>
                <w:b/>
                <w:bCs/>
                <w:color w:val="FFFFFF"/>
                <w:sz w:val="20"/>
                <w:szCs w:val="20"/>
              </w:rPr>
              <w:t xml:space="preserve">Question posée</w:t>
            </w:r>
          </w:p>
        </w:tc>
        <w:tc>
          <w:tcPr>
            <w:tcW w:type="dxa" w:w="1900"/>
            <w:shd w:fill="1F3864" w:val="clear"/>
            <w:tcMar>
              <w:top w:type="dxa" w:w="80"/>
              <w:left w:type="dxa" w:w="120"/>
              <w:bottom w:type="dxa" w:w="80"/>
              <w:right w:type="dxa" w:w="120"/>
            </w:tcMar>
          </w:tcPr>
          <w:p>
            <w:pPr>
              <w:spacing w:after="0"/>
            </w:pPr>
            <w:r>
              <w:rPr>
                <w:b/>
                <w:bCs/>
                <w:color w:val="FFFFFF"/>
                <w:sz w:val="20"/>
                <w:szCs w:val="20"/>
              </w:rPr>
              <w:t xml:space="preserve">Réponse</w:t>
            </w:r>
          </w:p>
        </w:tc>
        <w:tc>
          <w:tcPr>
            <w:tcW w:type="dxa" w:w="1500"/>
            <w:shd w:fill="1F3864" w:val="clear"/>
            <w:tcMar>
              <w:top w:type="dxa" w:w="80"/>
              <w:left w:type="dxa" w:w="120"/>
              <w:bottom w:type="dxa" w:w="80"/>
              <w:right w:type="dxa" w:w="120"/>
            </w:tcMar>
          </w:tcPr>
          <w:p>
            <w:pPr>
              <w:spacing w:after="0"/>
            </w:pPr>
            <w:r>
              <w:rPr>
                <w:b/>
                <w:bCs/>
                <w:color w:val="FFFFFF"/>
                <w:sz w:val="20"/>
                <w:szCs w:val="20"/>
              </w:rPr>
              <w:t xml:space="preserve">Moment</w:t>
            </w:r>
          </w:p>
        </w:tc>
        <w:tc>
          <w:tcPr>
            <w:tcW w:type="dxa" w:w="1860"/>
            <w:shd w:fill="1F3864" w:val="clear"/>
            <w:tcMar>
              <w:top w:type="dxa" w:w="80"/>
              <w:left w:type="dxa" w:w="120"/>
              <w:bottom w:type="dxa" w:w="80"/>
              <w:right w:type="dxa" w:w="120"/>
            </w:tcMar>
          </w:tcPr>
          <w:p>
            <w:pPr>
              <w:spacing w:after="0"/>
            </w:pPr>
            <w:r>
              <w:rPr>
                <w:b/>
                <w:bCs/>
                <w:color w:val="FFFFFF"/>
                <w:sz w:val="20"/>
                <w:szCs w:val="20"/>
              </w:rPr>
              <w:t xml:space="preserve">Statut</w:t>
            </w:r>
          </w:p>
        </w:tc>
      </w:tr>
      <w:tr>
        <w:tc>
          <w:tcPr>
            <w:tcW w:type="dxa" w:w="1650"/>
            <w:tcMar>
              <w:top w:type="dxa" w:w="80"/>
              <w:left w:type="dxa" w:w="120"/>
              <w:bottom w:type="dxa" w:w="80"/>
              <w:right w:type="dxa" w:w="120"/>
            </w:tcMar>
          </w:tcPr>
          <w:p>
            <w:pPr>
              <w:spacing w:after="0"/>
            </w:pPr>
            <w:r>
              <w:rPr>
                <w:sz w:val="20"/>
                <w:szCs w:val="20"/>
              </w:rPr>
              <w:t xml:space="preserve">I1 — Existence</w:t>
            </w:r>
          </w:p>
        </w:tc>
        <w:tc>
          <w:tcPr>
            <w:tcW w:type="dxa" w:w="2650"/>
            <w:tcMar>
              <w:top w:type="dxa" w:w="80"/>
              <w:left w:type="dxa" w:w="120"/>
              <w:bottom w:type="dxa" w:w="80"/>
              <w:right w:type="dxa" w:w="120"/>
            </w:tcMar>
          </w:tcPr>
          <w:p>
            <w:pPr>
              <w:spacing w:after="0"/>
            </w:pPr>
            <w:r>
              <w:rPr>
                <w:sz w:val="20"/>
                <w:szCs w:val="20"/>
              </w:rPr>
              <w:t xml:space="preserve">Cet identifiant (NNI ou numéro CMU) correspond-il à une personne enregistrée ?</w:t>
            </w:r>
          </w:p>
        </w:tc>
        <w:tc>
          <w:tcPr>
            <w:tcW w:type="dxa" w:w="1900"/>
            <w:tcMar>
              <w:top w:type="dxa" w:w="80"/>
              <w:left w:type="dxa" w:w="120"/>
              <w:bottom w:type="dxa" w:w="80"/>
              <w:right w:type="dxa" w:w="120"/>
            </w:tcMar>
          </w:tcPr>
          <w:p>
            <w:pPr>
              <w:spacing w:after="0"/>
            </w:pPr>
            <w:r>
              <w:rPr>
                <w:sz w:val="20"/>
                <w:szCs w:val="20"/>
              </w:rPr>
              <w:t xml:space="preserve">OUI / NON / INCONNU / À RÉGULARISER</w:t>
            </w:r>
          </w:p>
        </w:tc>
        <w:tc>
          <w:tcPr>
            <w:tcW w:type="dxa" w:w="1500"/>
            <w:tcMar>
              <w:top w:type="dxa" w:w="80"/>
              <w:left w:type="dxa" w:w="120"/>
              <w:bottom w:type="dxa" w:w="80"/>
              <w:right w:type="dxa" w:w="120"/>
            </w:tcMar>
          </w:tcPr>
          <w:p>
            <w:pPr>
              <w:spacing w:after="0"/>
            </w:pPr>
            <w:r>
              <w:rPr>
                <w:sz w:val="20"/>
                <w:szCs w:val="20"/>
              </w:rPr>
              <w:t xml:space="preserve">Dépôt de la demande</w:t>
            </w:r>
          </w:p>
        </w:tc>
        <w:tc>
          <w:tcPr>
            <w:tcW w:type="dxa" w:w="1860"/>
            <w:tcMar>
              <w:top w:type="dxa" w:w="80"/>
              <w:left w:type="dxa" w:w="120"/>
              <w:bottom w:type="dxa" w:w="80"/>
              <w:right w:type="dxa" w:w="120"/>
            </w:tcMar>
          </w:tcPr>
          <w:p>
            <w:pPr>
              <w:spacing w:after="0"/>
            </w:pPr>
            <w:r>
              <w:rPr>
                <w:sz w:val="20"/>
                <w:szCs w:val="20"/>
              </w:rPr>
              <w:t xml:space="preserve">FIGÉ</w:t>
            </w:r>
          </w:p>
        </w:tc>
      </w:tr>
      <w:tr>
        <w:tc>
          <w:tcPr>
            <w:tcW w:type="dxa" w:w="1650"/>
            <w:shd w:fill="F4F6FA" w:val="clear"/>
            <w:tcMar>
              <w:top w:type="dxa" w:w="80"/>
              <w:left w:type="dxa" w:w="120"/>
              <w:bottom w:type="dxa" w:w="80"/>
              <w:right w:type="dxa" w:w="120"/>
            </w:tcMar>
          </w:tcPr>
          <w:p>
            <w:pPr>
              <w:spacing w:after="0"/>
            </w:pPr>
            <w:r>
              <w:rPr>
                <w:sz w:val="20"/>
                <w:szCs w:val="20"/>
              </w:rPr>
              <w:t xml:space="preserve">I2 — Concordance</w:t>
            </w:r>
          </w:p>
        </w:tc>
        <w:tc>
          <w:tcPr>
            <w:tcW w:type="dxa" w:w="2650"/>
            <w:shd w:fill="F4F6FA" w:val="clear"/>
            <w:tcMar>
              <w:top w:type="dxa" w:w="80"/>
              <w:left w:type="dxa" w:w="120"/>
              <w:bottom w:type="dxa" w:w="80"/>
              <w:right w:type="dxa" w:w="120"/>
            </w:tcMar>
          </w:tcPr>
          <w:p>
            <w:pPr>
              <w:spacing w:after="0"/>
            </w:pPr>
            <w:r>
              <w:rPr>
                <w:sz w:val="20"/>
                <w:szCs w:val="20"/>
              </w:rPr>
              <w:t xml:space="preserve">Les nom, prénoms et date de naissance déclarés correspondent-ils à cet identifiant ?</w:t>
            </w:r>
          </w:p>
        </w:tc>
        <w:tc>
          <w:tcPr>
            <w:tcW w:type="dxa" w:w="1900"/>
            <w:shd w:fill="F4F6FA" w:val="clear"/>
            <w:tcMar>
              <w:top w:type="dxa" w:w="80"/>
              <w:left w:type="dxa" w:w="120"/>
              <w:bottom w:type="dxa" w:w="80"/>
              <w:right w:type="dxa" w:w="120"/>
            </w:tcMar>
          </w:tcPr>
          <w:p>
            <w:pPr>
              <w:spacing w:after="0"/>
            </w:pPr>
            <w:r>
              <w:rPr>
                <w:sz w:val="20"/>
                <w:szCs w:val="20"/>
              </w:rPr>
              <w:t xml:space="preserve">CONCORDANT / PARTIEL / DISCORDANT</w:t>
            </w:r>
          </w:p>
        </w:tc>
        <w:tc>
          <w:tcPr>
            <w:tcW w:type="dxa" w:w="1500"/>
            <w:shd w:fill="F4F6FA" w:val="clear"/>
            <w:tcMar>
              <w:top w:type="dxa" w:w="80"/>
              <w:left w:type="dxa" w:w="120"/>
              <w:bottom w:type="dxa" w:w="80"/>
              <w:right w:type="dxa" w:w="120"/>
            </w:tcMar>
          </w:tcPr>
          <w:p>
            <w:pPr>
              <w:spacing w:after="0"/>
            </w:pPr>
            <w:r>
              <w:rPr>
                <w:sz w:val="20"/>
                <w:szCs w:val="20"/>
              </w:rPr>
              <w:t xml:space="preserve">Vérification d'éligibilité</w:t>
            </w:r>
          </w:p>
        </w:tc>
        <w:tc>
          <w:tcPr>
            <w:tcW w:type="dxa" w:w="1860"/>
            <w:shd w:fill="F4F6FA" w:val="clear"/>
            <w:tcMar>
              <w:top w:type="dxa" w:w="80"/>
              <w:left w:type="dxa" w:w="120"/>
              <w:bottom w:type="dxa" w:w="80"/>
              <w:right w:type="dxa" w:w="120"/>
            </w:tcMar>
          </w:tcPr>
          <w:p>
            <w:pPr>
              <w:spacing w:after="0"/>
            </w:pPr>
            <w:r>
              <w:rPr>
                <w:sz w:val="20"/>
                <w:szCs w:val="20"/>
              </w:rPr>
              <w:t xml:space="preserve">FIGÉ · seuils : CONCERT.</w:t>
            </w:r>
          </w:p>
        </w:tc>
      </w:tr>
      <w:tr>
        <w:tc>
          <w:tcPr>
            <w:tcW w:type="dxa" w:w="1650"/>
            <w:tcMar>
              <w:top w:type="dxa" w:w="80"/>
              <w:left w:type="dxa" w:w="120"/>
              <w:bottom w:type="dxa" w:w="80"/>
              <w:right w:type="dxa" w:w="120"/>
            </w:tcMar>
          </w:tcPr>
          <w:p>
            <w:pPr>
              <w:spacing w:after="0"/>
            </w:pPr>
            <w:r>
              <w:rPr>
                <w:sz w:val="20"/>
                <w:szCs w:val="20"/>
              </w:rPr>
              <w:t xml:space="preserve">I3 — Majorité</w:t>
            </w:r>
          </w:p>
        </w:tc>
        <w:tc>
          <w:tcPr>
            <w:tcW w:type="dxa" w:w="2650"/>
            <w:tcMar>
              <w:top w:type="dxa" w:w="80"/>
              <w:left w:type="dxa" w:w="120"/>
              <w:bottom w:type="dxa" w:w="80"/>
              <w:right w:type="dxa" w:w="120"/>
            </w:tcMar>
          </w:tcPr>
          <w:p>
            <w:pPr>
              <w:spacing w:after="0"/>
            </w:pPr>
            <w:r>
              <w:rPr>
                <w:sz w:val="20"/>
                <w:szCs w:val="20"/>
              </w:rPr>
              <w:t xml:space="preserve">Cette personne a-t-elle 18 ans révolus à la date de la demande ?</w:t>
            </w:r>
          </w:p>
        </w:tc>
        <w:tc>
          <w:tcPr>
            <w:tcW w:type="dxa" w:w="1900"/>
            <w:tcMar>
              <w:top w:type="dxa" w:w="80"/>
              <w:left w:type="dxa" w:w="120"/>
              <w:bottom w:type="dxa" w:w="80"/>
              <w:right w:type="dxa" w:w="120"/>
            </w:tcMar>
          </w:tcPr>
          <w:p>
            <w:pPr>
              <w:spacing w:after="0"/>
            </w:pPr>
            <w:r>
              <w:rPr>
                <w:sz w:val="20"/>
                <w:szCs w:val="20"/>
              </w:rPr>
              <w:t xml:space="preserve">OUI / NON</w:t>
            </w:r>
          </w:p>
        </w:tc>
        <w:tc>
          <w:tcPr>
            <w:tcW w:type="dxa" w:w="1500"/>
            <w:tcMar>
              <w:top w:type="dxa" w:w="80"/>
              <w:left w:type="dxa" w:w="120"/>
              <w:bottom w:type="dxa" w:w="80"/>
              <w:right w:type="dxa" w:w="120"/>
            </w:tcMar>
          </w:tcPr>
          <w:p>
            <w:pPr>
              <w:spacing w:after="0"/>
            </w:pPr>
            <w:r>
              <w:rPr>
                <w:sz w:val="20"/>
                <w:szCs w:val="20"/>
              </w:rPr>
              <w:t xml:space="preserve">Vérification d'éligibilité</w:t>
            </w:r>
          </w:p>
        </w:tc>
        <w:tc>
          <w:tcPr>
            <w:tcW w:type="dxa" w:w="1860"/>
            <w:tcMar>
              <w:top w:type="dxa" w:w="80"/>
              <w:left w:type="dxa" w:w="120"/>
              <w:bottom w:type="dxa" w:w="80"/>
              <w:right w:type="dxa" w:w="120"/>
            </w:tcMar>
          </w:tcPr>
          <w:p>
            <w:pPr>
              <w:spacing w:after="0"/>
            </w:pPr>
            <w:r>
              <w:rPr>
                <w:sz w:val="20"/>
                <w:szCs w:val="20"/>
              </w:rPr>
              <w:t xml:space="preserve">FIGÉ</w:t>
            </w:r>
          </w:p>
        </w:tc>
      </w:tr>
      <w:tr>
        <w:tc>
          <w:tcPr>
            <w:tcW w:type="dxa" w:w="1650"/>
            <w:shd w:fill="F4F6FA" w:val="clear"/>
            <w:tcMar>
              <w:top w:type="dxa" w:w="80"/>
              <w:left w:type="dxa" w:w="120"/>
              <w:bottom w:type="dxa" w:w="80"/>
              <w:right w:type="dxa" w:w="120"/>
            </w:tcMar>
          </w:tcPr>
          <w:p>
            <w:pPr>
              <w:spacing w:after="0"/>
            </w:pPr>
            <w:r>
              <w:rPr>
                <w:sz w:val="20"/>
                <w:szCs w:val="20"/>
              </w:rPr>
              <w:t xml:space="preserve">I4 — Biométrie</w:t>
            </w:r>
          </w:p>
        </w:tc>
        <w:tc>
          <w:tcPr>
            <w:tcW w:type="dxa" w:w="2650"/>
            <w:shd w:fill="F4F6FA" w:val="clear"/>
            <w:tcMar>
              <w:top w:type="dxa" w:w="80"/>
              <w:left w:type="dxa" w:w="120"/>
              <w:bottom w:type="dxa" w:w="80"/>
              <w:right w:type="dxa" w:w="120"/>
            </w:tcMar>
          </w:tcPr>
          <w:p>
            <w:pPr>
              <w:spacing w:after="0"/>
            </w:pPr>
            <w:r>
              <w:rPr>
                <w:sz w:val="20"/>
                <w:szCs w:val="20"/>
              </w:rPr>
              <w:t xml:space="preserve">L'empreinte présentée correspond-elle à cet identifiant ?</w:t>
            </w:r>
          </w:p>
        </w:tc>
        <w:tc>
          <w:tcPr>
            <w:tcW w:type="dxa" w:w="1900"/>
            <w:shd w:fill="F4F6FA" w:val="clear"/>
            <w:tcMar>
              <w:top w:type="dxa" w:w="80"/>
              <w:left w:type="dxa" w:w="120"/>
              <w:bottom w:type="dxa" w:w="80"/>
              <w:right w:type="dxa" w:w="120"/>
            </w:tcMar>
          </w:tcPr>
          <w:p>
            <w:pPr>
              <w:spacing w:after="0"/>
            </w:pPr>
            <w:r>
              <w:rPr>
                <w:sz w:val="20"/>
                <w:szCs w:val="20"/>
              </w:rPr>
              <w:t xml:space="preserve">OUI / NON / INCONNU</w:t>
            </w:r>
          </w:p>
        </w:tc>
        <w:tc>
          <w:tcPr>
            <w:tcW w:type="dxa" w:w="1500"/>
            <w:shd w:fill="F4F6FA" w:val="clear"/>
            <w:tcMar>
              <w:top w:type="dxa" w:w="80"/>
              <w:left w:type="dxa" w:w="120"/>
              <w:bottom w:type="dxa" w:w="80"/>
              <w:right w:type="dxa" w:w="120"/>
            </w:tcMar>
          </w:tcPr>
          <w:p>
            <w:pPr>
              <w:spacing w:after="0"/>
            </w:pPr>
            <w:r>
              <w:rPr>
                <w:sz w:val="20"/>
                <w:szCs w:val="20"/>
              </w:rPr>
              <w:t xml:space="preserve">À la remise, et au dépôt en point d'accueil si équipé</w:t>
            </w:r>
          </w:p>
        </w:tc>
        <w:tc>
          <w:tcPr>
            <w:tcW w:type="dxa" w:w="1860"/>
            <w:shd w:fill="F4F6FA" w:val="clear"/>
            <w:tcMar>
              <w:top w:type="dxa" w:w="80"/>
              <w:left w:type="dxa" w:w="120"/>
              <w:bottom w:type="dxa" w:w="80"/>
              <w:right w:type="dxa" w:w="120"/>
            </w:tcMar>
          </w:tcPr>
          <w:p>
            <w:pPr>
              <w:spacing w:after="0"/>
            </w:pPr>
            <w:r>
              <w:rPr>
                <w:sz w:val="20"/>
                <w:szCs w:val="20"/>
              </w:rPr>
              <w:t xml:space="preserve">CONCERT.</w:t>
            </w:r>
          </w:p>
        </w:tc>
      </w:tr>
      <w:tr>
        <w:tc>
          <w:tcPr>
            <w:tcW w:type="dxa" w:w="1650"/>
            <w:tcMar>
              <w:top w:type="dxa" w:w="80"/>
              <w:left w:type="dxa" w:w="120"/>
              <w:bottom w:type="dxa" w:w="80"/>
              <w:right w:type="dxa" w:w="120"/>
            </w:tcMar>
          </w:tcPr>
          <w:p>
            <w:pPr>
              <w:spacing w:after="0"/>
            </w:pPr>
            <w:r>
              <w:rPr>
                <w:sz w:val="20"/>
                <w:szCs w:val="20"/>
              </w:rPr>
              <w:t xml:space="preserve">I5 — Vulnérabilité sociale</w:t>
            </w:r>
          </w:p>
        </w:tc>
        <w:tc>
          <w:tcPr>
            <w:tcW w:type="dxa" w:w="2650"/>
            <w:tcMar>
              <w:top w:type="dxa" w:w="80"/>
              <w:left w:type="dxa" w:w="120"/>
              <w:bottom w:type="dxa" w:w="80"/>
              <w:right w:type="dxa" w:w="120"/>
            </w:tcMar>
          </w:tcPr>
          <w:p>
            <w:pPr>
              <w:spacing w:after="0"/>
            </w:pPr>
            <w:r>
              <w:rPr>
                <w:sz w:val="20"/>
                <w:szCs w:val="20"/>
              </w:rPr>
              <w:t xml:space="preserve">Cette personne relève-t-elle du seuil de vulnérabilité retenu par l'État dans le Registre Social Unique ?</w:t>
            </w:r>
          </w:p>
        </w:tc>
        <w:tc>
          <w:tcPr>
            <w:tcW w:type="dxa" w:w="1900"/>
            <w:tcMar>
              <w:top w:type="dxa" w:w="80"/>
              <w:left w:type="dxa" w:w="120"/>
              <w:bottom w:type="dxa" w:w="80"/>
              <w:right w:type="dxa" w:w="120"/>
            </w:tcMar>
          </w:tcPr>
          <w:p>
            <w:pPr>
              <w:spacing w:after="0"/>
            </w:pPr>
            <w:r>
              <w:rPr>
                <w:sz w:val="20"/>
                <w:szCs w:val="20"/>
              </w:rPr>
              <w:t xml:space="preserve">ÉLIGIBLE SOCIAL : OUI / NON / INCONNU</w:t>
            </w:r>
          </w:p>
        </w:tc>
        <w:tc>
          <w:tcPr>
            <w:tcW w:type="dxa" w:w="1500"/>
            <w:tcMar>
              <w:top w:type="dxa" w:w="80"/>
              <w:left w:type="dxa" w:w="120"/>
              <w:bottom w:type="dxa" w:w="80"/>
              <w:right w:type="dxa" w:w="120"/>
            </w:tcMar>
          </w:tcPr>
          <w:p>
            <w:pPr>
              <w:spacing w:after="0"/>
            </w:pPr>
            <w:r>
              <w:rPr>
                <w:sz w:val="20"/>
                <w:szCs w:val="20"/>
              </w:rPr>
              <w:t xml:space="preserve">Vérification d'éligibilité (condition 5)</w:t>
            </w:r>
          </w:p>
        </w:tc>
        <w:tc>
          <w:tcPr>
            <w:tcW w:type="dxa" w:w="1860"/>
            <w:tcMar>
              <w:top w:type="dxa" w:w="80"/>
              <w:left w:type="dxa" w:w="120"/>
              <w:bottom w:type="dxa" w:w="80"/>
              <w:right w:type="dxa" w:w="120"/>
            </w:tcMar>
          </w:tcPr>
          <w:p>
            <w:pPr>
              <w:spacing w:after="0"/>
            </w:pPr>
            <w:r>
              <w:rPr>
                <w:sz w:val="20"/>
                <w:szCs w:val="20"/>
              </w:rPr>
              <w:t xml:space="preserve">FIGÉ (principe) · CONCERT. (seuil, convention)</w:t>
            </w:r>
          </w:p>
        </w:tc>
      </w:tr>
    </w:tbl>
    <w:p>
      <w:pPr>
        <w:spacing w:after="160" w:before="120"/>
        <w:jc w:val="both"/>
      </w:pPr>
      <w:r>
        <w:rPr>
          <w:b w:val="false"/>
          <w:bCs w:val="false"/>
          <w:i w:val="false"/>
          <w:iCs w:val="false"/>
          <w:sz w:val="22"/>
          <w:szCs w:val="22"/>
        </w:rPr>
        <w:t xml:space="preserve">I3 est posé comme question fermée pour ne pas transmettre la date de naissance à PASS. I4 est la vérification forte : elle fait de la remise l'acte qui garantit que le terminal va à la personne vérifiée, et non à un porteur d'identifiant. I5 ne renvoie qu'un verdict : ni le revenu, ni la composition du ménage, ni le motif de vulnérabilité ne transitent vers PASS.</w:t>
      </w:r>
    </w:p>
    <w:p>
      <w:pPr>
        <w:spacing w:after="160" w:before="60"/>
        <w:jc w:val="both"/>
      </w:pPr>
      <w:r>
        <w:rPr>
          <w:b w:val="false"/>
          <w:bCs w:val="false"/>
          <w:i w:val="false"/>
          <w:iCs w:val="false"/>
          <w:sz w:val="22"/>
          <w:szCs w:val="22"/>
        </w:rPr>
        <w:t xml:space="preserve">I1 porte un quatrième état, distinct de INCONNU : À RÉGULARISER. INCONNU signifie que l'identifiant n'existe dans aucun des deux registres. À RÉGULARISER signifie que la personne est identifiable en principe, mais que son dossier ne peut pas être tranché en l'état — absence de pièce exploitable, enregistrement incomplet, incohérence entre systèmes. Le détail de cette distinction figure à la section 5bis.</w:t>
      </w:r>
    </w:p>
    <w:p>
      <w:pPr>
        <w:pStyle w:val="Heading1"/>
        <w:spacing w:after="160" w:before="320"/>
      </w:pPr>
      <w:r>
        <w:rPr>
          <w:b/>
          <w:bCs/>
          <w:color w:val="1F3864"/>
          <w:sz w:val="28"/>
          <w:szCs w:val="28"/>
        </w:rPr>
        <w:t xml:space="preserve">3. Données échangées</w:t>
      </w:r>
    </w:p>
    <w:p>
      <w:pPr>
        <w:pStyle w:val="Heading2"/>
        <w:spacing w:after="120" w:before="240"/>
      </w:pPr>
      <w:r>
        <w:rPr>
          <w:b/>
          <w:bCs/>
          <w:color w:val="1F3864"/>
          <w:sz w:val="24"/>
          <w:szCs w:val="24"/>
        </w:rPr>
        <w:t xml:space="preserve">En entrée — de PASS vers le registre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20"/>
              <w:bottom w:type="dxa" w:w="80"/>
              <w:right w:type="dxa" w:w="120"/>
            </w:tcMar>
          </w:tcPr>
          <w:p>
            <w:pPr>
              <w:spacing w:after="0"/>
            </w:pPr>
            <w:r>
              <w:rPr>
                <w:b/>
                <w:bCs/>
                <w:color w:val="FFFFFF"/>
                <w:sz w:val="20"/>
                <w:szCs w:val="20"/>
              </w:rPr>
              <w:t xml:space="preserve">Donnée</w:t>
            </w:r>
          </w:p>
        </w:tc>
        <w:tc>
          <w:tcPr>
            <w:tcW w:type="dxa" w:w="4680"/>
            <w:shd w:fill="1F3864" w:val="clear"/>
            <w:tcMar>
              <w:top w:type="dxa" w:w="80"/>
              <w:left w:type="dxa" w:w="120"/>
              <w:bottom w:type="dxa" w:w="80"/>
              <w:right w:type="dxa" w:w="120"/>
            </w:tcMar>
          </w:tcPr>
          <w:p>
            <w:pPr>
              <w:spacing w:after="0"/>
            </w:pPr>
            <w:r>
              <w:rPr>
                <w:b/>
                <w:bCs/>
                <w:color w:val="FFFFFF"/>
                <w:sz w:val="20"/>
                <w:szCs w:val="20"/>
              </w:rPr>
              <w:t xml:space="preserve">Usage</w:t>
            </w:r>
          </w:p>
        </w:tc>
      </w:tr>
      <w:tr>
        <w:tc>
          <w:tcPr>
            <w:tcW w:type="dxa" w:w="4680"/>
            <w:tcMar>
              <w:top w:type="dxa" w:w="80"/>
              <w:left w:type="dxa" w:w="120"/>
              <w:bottom w:type="dxa" w:w="80"/>
              <w:right w:type="dxa" w:w="120"/>
            </w:tcMar>
          </w:tcPr>
          <w:p>
            <w:pPr>
              <w:spacing w:after="0"/>
            </w:pPr>
            <w:r>
              <w:rPr>
                <w:sz w:val="20"/>
                <w:szCs w:val="20"/>
              </w:rPr>
              <w:t xml:space="preserve">Référence de campagne et identifiant de dossier PASS</w:t>
            </w:r>
          </w:p>
        </w:tc>
        <w:tc>
          <w:tcPr>
            <w:tcW w:type="dxa" w:w="4680"/>
            <w:tcMar>
              <w:top w:type="dxa" w:w="80"/>
              <w:left w:type="dxa" w:w="120"/>
              <w:bottom w:type="dxa" w:w="80"/>
              <w:right w:type="dxa" w:w="120"/>
            </w:tcMar>
          </w:tcPr>
          <w:p>
            <w:pPr>
              <w:spacing w:after="0"/>
            </w:pPr>
            <w:r>
              <w:rPr>
                <w:sz w:val="20"/>
                <w:szCs w:val="20"/>
              </w:rPr>
              <w:t xml:space="preserve">Rattachement et traçabilité</w:t>
            </w:r>
          </w:p>
        </w:tc>
      </w:tr>
      <w:tr>
        <w:tc>
          <w:tcPr>
            <w:tcW w:type="dxa" w:w="4680"/>
            <w:shd w:fill="F4F6FA" w:val="clear"/>
            <w:tcMar>
              <w:top w:type="dxa" w:w="80"/>
              <w:left w:type="dxa" w:w="120"/>
              <w:bottom w:type="dxa" w:w="80"/>
              <w:right w:type="dxa" w:w="120"/>
            </w:tcMar>
          </w:tcPr>
          <w:p>
            <w:pPr>
              <w:spacing w:after="0"/>
            </w:pPr>
            <w:r>
              <w:rPr>
                <w:sz w:val="20"/>
                <w:szCs w:val="20"/>
              </w:rPr>
              <w:t xml:space="preserve">Identifiant : NNI ou numéro CMU</w:t>
            </w:r>
          </w:p>
        </w:tc>
        <w:tc>
          <w:tcPr>
            <w:tcW w:type="dxa" w:w="4680"/>
            <w:shd w:fill="F4F6FA" w:val="clear"/>
            <w:tcMar>
              <w:top w:type="dxa" w:w="80"/>
              <w:left w:type="dxa" w:w="120"/>
              <w:bottom w:type="dxa" w:w="80"/>
              <w:right w:type="dxa" w:w="120"/>
            </w:tcMar>
          </w:tcPr>
          <w:p>
            <w:pPr>
              <w:spacing w:after="0"/>
            </w:pPr>
            <w:r>
              <w:rPr>
                <w:sz w:val="20"/>
                <w:szCs w:val="20"/>
              </w:rPr>
              <w:t xml:space="preserve">I1, I2, I3, I4</w:t>
            </w:r>
          </w:p>
        </w:tc>
      </w:tr>
      <w:tr>
        <w:tc>
          <w:tcPr>
            <w:tcW w:type="dxa" w:w="4680"/>
            <w:tcMar>
              <w:top w:type="dxa" w:w="80"/>
              <w:left w:type="dxa" w:w="120"/>
              <w:bottom w:type="dxa" w:w="80"/>
              <w:right w:type="dxa" w:w="120"/>
            </w:tcMar>
          </w:tcPr>
          <w:p>
            <w:pPr>
              <w:spacing w:after="0"/>
            </w:pPr>
            <w:r>
              <w:rPr>
                <w:sz w:val="20"/>
                <w:szCs w:val="20"/>
              </w:rPr>
              <w:t xml:space="preserve">Nom, prénoms, date de naissance déclarés</w:t>
            </w:r>
          </w:p>
        </w:tc>
        <w:tc>
          <w:tcPr>
            <w:tcW w:type="dxa" w:w="4680"/>
            <w:tcMar>
              <w:top w:type="dxa" w:w="80"/>
              <w:left w:type="dxa" w:w="120"/>
              <w:bottom w:type="dxa" w:w="80"/>
              <w:right w:type="dxa" w:w="120"/>
            </w:tcMar>
          </w:tcPr>
          <w:p>
            <w:pPr>
              <w:spacing w:after="0"/>
            </w:pPr>
            <w:r>
              <w:rPr>
                <w:sz w:val="20"/>
                <w:szCs w:val="20"/>
              </w:rPr>
              <w:t xml:space="preserve">I2 uniquement, pour la concordance</w:t>
            </w:r>
          </w:p>
        </w:tc>
      </w:tr>
      <w:tr>
        <w:tc>
          <w:tcPr>
            <w:tcW w:type="dxa" w:w="4680"/>
            <w:shd w:fill="F4F6FA" w:val="clear"/>
            <w:tcMar>
              <w:top w:type="dxa" w:w="80"/>
              <w:left w:type="dxa" w:w="120"/>
              <w:bottom w:type="dxa" w:w="80"/>
              <w:right w:type="dxa" w:w="120"/>
            </w:tcMar>
          </w:tcPr>
          <w:p>
            <w:pPr>
              <w:spacing w:after="0"/>
            </w:pPr>
            <w:r>
              <w:rPr>
                <w:sz w:val="20"/>
                <w:szCs w:val="20"/>
              </w:rPr>
              <w:t xml:space="preserve">Empreinte captée au point de remise</w:t>
            </w:r>
          </w:p>
        </w:tc>
        <w:tc>
          <w:tcPr>
            <w:tcW w:type="dxa" w:w="4680"/>
            <w:shd w:fill="F4F6FA" w:val="clear"/>
            <w:tcMar>
              <w:top w:type="dxa" w:w="80"/>
              <w:left w:type="dxa" w:w="120"/>
              <w:bottom w:type="dxa" w:w="80"/>
              <w:right w:type="dxa" w:w="120"/>
            </w:tcMar>
          </w:tcPr>
          <w:p>
            <w:pPr>
              <w:spacing w:after="0"/>
            </w:pPr>
            <w:r>
              <w:rPr>
                <w:sz w:val="20"/>
                <w:szCs w:val="20"/>
              </w:rPr>
              <w:t xml:space="preserve">I4 uniquement, comparée par le registre, jamais conservée par PASS</w:t>
            </w:r>
          </w:p>
        </w:tc>
      </w:tr>
      <w:tr>
        <w:tc>
          <w:tcPr>
            <w:tcW w:type="dxa" w:w="4680"/>
            <w:tcMar>
              <w:top w:type="dxa" w:w="80"/>
              <w:left w:type="dxa" w:w="120"/>
              <w:bottom w:type="dxa" w:w="80"/>
              <w:right w:type="dxa" w:w="120"/>
            </w:tcMar>
          </w:tcPr>
          <w:p>
            <w:pPr>
              <w:spacing w:after="0"/>
            </w:pPr>
            <w:r>
              <w:rPr>
                <w:sz w:val="20"/>
                <w:szCs w:val="20"/>
              </w:rPr>
              <w:t xml:space="preserve">Identifiant : NNI ou numéro CMU (transmis au RSU)</w:t>
            </w:r>
          </w:p>
        </w:tc>
        <w:tc>
          <w:tcPr>
            <w:tcW w:type="dxa" w:w="4680"/>
            <w:tcMar>
              <w:top w:type="dxa" w:w="80"/>
              <w:left w:type="dxa" w:w="120"/>
              <w:bottom w:type="dxa" w:w="80"/>
              <w:right w:type="dxa" w:w="120"/>
            </w:tcMar>
          </w:tcPr>
          <w:p>
            <w:pPr>
              <w:spacing w:after="0"/>
            </w:pPr>
            <w:r>
              <w:rPr>
                <w:sz w:val="20"/>
                <w:szCs w:val="20"/>
              </w:rPr>
              <w:t xml:space="preserve">I5 uniquement, pour interroger le statut de vulnérabilité</w:t>
            </w:r>
          </w:p>
        </w:tc>
      </w:tr>
    </w:tbl>
    <w:p>
      <w:pPr>
        <w:pStyle w:val="Heading2"/>
        <w:spacing w:after="120" w:before="240"/>
      </w:pPr>
      <w:r>
        <w:rPr>
          <w:b/>
          <w:bCs/>
          <w:color w:val="1F3864"/>
          <w:sz w:val="24"/>
          <w:szCs w:val="24"/>
        </w:rPr>
        <w:t xml:space="preserve">En sortie — du registre vers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20"/>
              <w:bottom w:type="dxa" w:w="80"/>
              <w:right w:type="dxa" w:w="120"/>
            </w:tcMar>
          </w:tcPr>
          <w:p>
            <w:pPr>
              <w:spacing w:after="0"/>
            </w:pPr>
            <w:r>
              <w:rPr>
                <w:b/>
                <w:bCs/>
                <w:color w:val="FFFFFF"/>
                <w:sz w:val="20"/>
                <w:szCs w:val="20"/>
              </w:rPr>
              <w:t xml:space="preserve">Donnée</w:t>
            </w:r>
          </w:p>
        </w:tc>
        <w:tc>
          <w:tcPr>
            <w:tcW w:type="dxa" w:w="4680"/>
            <w:shd w:fill="1F3864" w:val="clear"/>
            <w:tcMar>
              <w:top w:type="dxa" w:w="80"/>
              <w:left w:type="dxa" w:w="120"/>
              <w:bottom w:type="dxa" w:w="80"/>
              <w:right w:type="dxa" w:w="120"/>
            </w:tcMar>
          </w:tcPr>
          <w:p>
            <w:pPr>
              <w:spacing w:after="0"/>
            </w:pPr>
            <w:r>
              <w:rPr>
                <w:b/>
                <w:bCs/>
                <w:color w:val="FFFFFF"/>
                <w:sz w:val="20"/>
                <w:szCs w:val="20"/>
              </w:rPr>
              <w:t xml:space="preserve">Format</w:t>
            </w:r>
          </w:p>
        </w:tc>
      </w:tr>
      <w:tr>
        <w:tc>
          <w:tcPr>
            <w:tcW w:type="dxa" w:w="4680"/>
            <w:tcMar>
              <w:top w:type="dxa" w:w="80"/>
              <w:left w:type="dxa" w:w="120"/>
              <w:bottom w:type="dxa" w:w="80"/>
              <w:right w:type="dxa" w:w="120"/>
            </w:tcMar>
          </w:tcPr>
          <w:p>
            <w:pPr>
              <w:spacing w:after="0"/>
            </w:pPr>
            <w:r>
              <w:rPr>
                <w:sz w:val="20"/>
                <w:szCs w:val="20"/>
              </w:rPr>
              <w:t xml:space="preserve">Identifiant de dossier</w:t>
            </w:r>
          </w:p>
        </w:tc>
        <w:tc>
          <w:tcPr>
            <w:tcW w:type="dxa" w:w="4680"/>
            <w:tcMar>
              <w:top w:type="dxa" w:w="80"/>
              <w:left w:type="dxa" w:w="120"/>
              <w:bottom w:type="dxa" w:w="80"/>
              <w:right w:type="dxa" w:w="120"/>
            </w:tcMar>
          </w:tcPr>
          <w:p>
            <w:pPr>
              <w:spacing w:after="0"/>
            </w:pPr>
            <w:r>
              <w:rPr>
                <w:sz w:val="20"/>
                <w:szCs w:val="20"/>
              </w:rPr>
              <w:t xml:space="preserve">Rappel</w:t>
            </w:r>
          </w:p>
        </w:tc>
      </w:tr>
      <w:tr>
        <w:tc>
          <w:tcPr>
            <w:tcW w:type="dxa" w:w="4680"/>
            <w:shd w:fill="F4F6FA" w:val="clear"/>
            <w:tcMar>
              <w:top w:type="dxa" w:w="80"/>
              <w:left w:type="dxa" w:w="120"/>
              <w:bottom w:type="dxa" w:w="80"/>
              <w:right w:type="dxa" w:w="120"/>
            </w:tcMar>
          </w:tcPr>
          <w:p>
            <w:pPr>
              <w:spacing w:after="0"/>
            </w:pPr>
            <w:r>
              <w:rPr>
                <w:sz w:val="20"/>
                <w:szCs w:val="20"/>
              </w:rPr>
              <w:t xml:space="preserve">Réponse</w:t>
            </w:r>
          </w:p>
        </w:tc>
        <w:tc>
          <w:tcPr>
            <w:tcW w:type="dxa" w:w="4680"/>
            <w:shd w:fill="F4F6FA" w:val="clear"/>
            <w:tcMar>
              <w:top w:type="dxa" w:w="80"/>
              <w:left w:type="dxa" w:w="120"/>
              <w:bottom w:type="dxa" w:w="80"/>
              <w:right w:type="dxa" w:w="120"/>
            </w:tcMar>
          </w:tcPr>
          <w:p>
            <w:pPr>
              <w:spacing w:after="0"/>
            </w:pPr>
            <w:r>
              <w:rPr>
                <w:sz w:val="20"/>
                <w:szCs w:val="20"/>
              </w:rPr>
              <w:t xml:space="preserve">Selon le service : OUI / NON / INCONNU ; CONCORDANT / PARTIEL / DISCORDANT</w:t>
            </w:r>
          </w:p>
        </w:tc>
      </w:tr>
      <w:tr>
        <w:tc>
          <w:tcPr>
            <w:tcW w:type="dxa" w:w="4680"/>
            <w:tcMar>
              <w:top w:type="dxa" w:w="80"/>
              <w:left w:type="dxa" w:w="120"/>
              <w:bottom w:type="dxa" w:w="80"/>
              <w:right w:type="dxa" w:w="120"/>
            </w:tcMar>
          </w:tcPr>
          <w:p>
            <w:pPr>
              <w:spacing w:after="0"/>
            </w:pPr>
            <w:r>
              <w:rPr>
                <w:sz w:val="20"/>
                <w:szCs w:val="20"/>
              </w:rPr>
              <w:t xml:space="preserve">Horodatage et référence de contrôle</w:t>
            </w:r>
          </w:p>
        </w:tc>
        <w:tc>
          <w:tcPr>
            <w:tcW w:type="dxa" w:w="4680"/>
            <w:tcMar>
              <w:top w:type="dxa" w:w="80"/>
              <w:left w:type="dxa" w:w="120"/>
              <w:bottom w:type="dxa" w:w="80"/>
              <w:right w:type="dxa" w:w="120"/>
            </w:tcMar>
          </w:tcPr>
          <w:p>
            <w:pPr>
              <w:spacing w:after="0"/>
            </w:pPr>
            <w:r>
              <w:rPr>
                <w:sz w:val="20"/>
                <w:szCs w:val="20"/>
              </w:rPr>
              <w:t xml:space="preserve">Pour l'audit chez le registre, sans contenu</w:t>
            </w:r>
          </w:p>
        </w:tc>
      </w:tr>
      <w:tr>
        <w:tc>
          <w:tcPr>
            <w:tcW w:type="dxa" w:w="4680"/>
            <w:shd w:fill="F4F6FA" w:val="clear"/>
            <w:tcMar>
              <w:top w:type="dxa" w:w="80"/>
              <w:left w:type="dxa" w:w="120"/>
              <w:bottom w:type="dxa" w:w="80"/>
              <w:right w:type="dxa" w:w="120"/>
            </w:tcMar>
          </w:tcPr>
          <w:p>
            <w:pPr>
              <w:spacing w:after="0"/>
            </w:pPr>
            <w:r>
              <w:rPr>
                <w:sz w:val="20"/>
                <w:szCs w:val="20"/>
              </w:rPr>
              <w:t xml:space="preserve">Motif, si INCONNU ou PARTIEL</w:t>
            </w:r>
          </w:p>
        </w:tc>
        <w:tc>
          <w:tcPr>
            <w:tcW w:type="dxa" w:w="4680"/>
            <w:shd w:fill="F4F6FA" w:val="clear"/>
            <w:tcMar>
              <w:top w:type="dxa" w:w="80"/>
              <w:left w:type="dxa" w:w="120"/>
              <w:bottom w:type="dxa" w:w="80"/>
              <w:right w:type="dxa" w:w="120"/>
            </w:tcMar>
          </w:tcPr>
          <w:p>
            <w:pPr>
              <w:spacing w:after="0"/>
            </w:pPr>
            <w:r>
              <w:rPr>
                <w:sz w:val="20"/>
                <w:szCs w:val="20"/>
              </w:rPr>
              <w:t xml:space="preserve">Code parmi une liste fermée — par exemple : variante orthographique, date incomplète, identifiant non attribué</w:t>
            </w:r>
          </w:p>
        </w:tc>
      </w:tr>
      <w:tr>
        <w:tc>
          <w:tcPr>
            <w:tcW w:type="dxa" w:w="4680"/>
            <w:tcMar>
              <w:top w:type="dxa" w:w="80"/>
              <w:left w:type="dxa" w:w="120"/>
              <w:bottom w:type="dxa" w:w="80"/>
              <w:right w:type="dxa" w:w="120"/>
            </w:tcMar>
          </w:tcPr>
          <w:p>
            <w:pPr>
              <w:spacing w:after="0"/>
            </w:pPr>
            <w:r>
              <w:rPr>
                <w:sz w:val="20"/>
                <w:szCs w:val="20"/>
              </w:rPr>
              <w:t xml:space="preserve">I5 : ÉLIGIBLE SOCIAL</w:t>
            </w:r>
          </w:p>
        </w:tc>
        <w:tc>
          <w:tcPr>
            <w:tcW w:type="dxa" w:w="4680"/>
            <w:tcMar>
              <w:top w:type="dxa" w:w="80"/>
              <w:left w:type="dxa" w:w="120"/>
              <w:bottom w:type="dxa" w:w="80"/>
              <w:right w:type="dxa" w:w="120"/>
            </w:tcMar>
          </w:tcPr>
          <w:p>
            <w:pPr>
              <w:spacing w:after="0"/>
            </w:pPr>
            <w:r>
              <w:rPr>
                <w:sz w:val="20"/>
                <w:szCs w:val="20"/>
              </w:rPr>
              <w:t xml:space="preserve">OUI / NON / INCONNU — jamais accompagné du motif, du revenu ou de la composition du ménage</w:t>
            </w:r>
          </w:p>
        </w:tc>
      </w:tr>
    </w:tbl>
    <w:tbl>
      <w:tblPr>
        <w:tblW w:type="dxa" w:w="9360"/>
        <w:tblBorders>
          <w:top w:val="single" w:color="1F3864" w:sz="6"/>
          <w:left w:val="single" w:color="1F3864" w:sz="6"/>
          <w:bottom w:val="single" w:color="1F3864" w:sz="6"/>
          <w:right w:val="single" w:color="1F3864" w:sz="6"/>
          <w:insideH w:val="single" w:color="auto" w:sz="4"/>
          <w:insideV w:val="single" w:color="auto" w:sz="4"/>
        </w:tblBorders>
      </w:tblPr>
      <w:tblGrid>
        <w:gridCol w:w="9360"/>
      </w:tblGrid>
      <w:tr>
        <w:tc>
          <w:tcPr>
            <w:tcW w:type="dxa" w:w="9360"/>
            <w:shd w:fill="EEF2F8" w:val="clear"/>
            <w:tcMar>
              <w:top w:type="dxa" w:w="140"/>
              <w:left w:type="dxa" w:w="200"/>
              <w:bottom w:type="dxa" w:w="140"/>
              <w:right w:type="dxa" w:w="200"/>
            </w:tcMar>
          </w:tcPr>
          <w:p>
            <w:pPr>
              <w:spacing w:after="0"/>
              <w:jc w:val="both"/>
            </w:pPr>
            <w:r>
              <w:rPr>
                <w:b/>
                <w:bCs/>
                <w:i w:val="false"/>
                <w:iCs w:val="false"/>
                <w:sz w:val="22"/>
                <w:szCs w:val="22"/>
              </w:rPr>
              <w:t xml:space="preserve">Ne transitent jamais vers PASS : données de santé, droits ou prestations CMU, adresse, filiation, photographie, données biométriques, nationalité, situation familiale ou professionnelle, revenu, composition du ménage, motif de vulnérabilité.</w:t>
            </w:r>
          </w:p>
        </w:tc>
      </w:tr>
    </w:tbl>
    <w:p>
      <w:pPr>
        <w:pStyle w:val="Heading1"/>
        <w:spacing w:after="160" w:before="320"/>
      </w:pPr>
      <w:r>
        <w:rPr>
          <w:b/>
          <w:bCs/>
          <w:color w:val="1F3864"/>
          <w:sz w:val="28"/>
          <w:szCs w:val="28"/>
        </w:rPr>
        <w:t xml:space="preserve">4. Unicité entre les deux registres — CONCERT.</w:t>
      </w:r>
    </w:p>
    <w:p>
      <w:pPr>
        <w:spacing w:after="160" w:before="0"/>
        <w:jc w:val="both"/>
      </w:pPr>
      <w:r>
        <w:rPr>
          <w:b w:val="false"/>
          <w:bCs w:val="false"/>
          <w:i w:val="false"/>
          <w:iCs w:val="false"/>
          <w:sz w:val="22"/>
          <w:szCs w:val="22"/>
        </w:rPr>
        <w:t xml:space="preserve">Une même personne peut disposer d'un NNI et d'un numéro CMU. Pour que la règle « un bénéficiaire, un terminal » tienne, PASS doit pouvoir rapprocher les deux. Trois voies, à arrêter avec l'ONECI et la CNAM :</w:t>
      </w:r>
    </w:p>
    <w:p>
      <w:pPr>
        <w:pStyle w:val="ListParagraph"/>
        <w:numPr>
          <w:ilvl w:val="0"/>
          <w:numId w:val="2"/>
        </w:numPr>
        <w:spacing w:after="80"/>
        <w:jc w:val="both"/>
      </w:pPr>
      <w:r>
        <w:rPr>
          <w:b w:val="false"/>
          <w:bCs w:val="false"/>
          <w:sz w:val="22"/>
          <w:szCs w:val="22"/>
        </w:rPr>
        <w:t xml:space="preserve">Le registre CMU renvoie, lorsqu'il le détient, le NNI associé au numéro CMU (service I6 — LIEN). PASS n'a alors qu'une clé d'unicité.</w:t>
      </w:r>
    </w:p>
    <w:p>
      <w:pPr>
        <w:pStyle w:val="ListParagraph"/>
        <w:numPr>
          <w:ilvl w:val="0"/>
          <w:numId w:val="2"/>
        </w:numPr>
        <w:spacing w:after="80"/>
        <w:jc w:val="both"/>
      </w:pPr>
      <w:r>
        <w:rPr>
          <w:b w:val="false"/>
          <w:bCs w:val="false"/>
          <w:sz w:val="22"/>
          <w:szCs w:val="22"/>
        </w:rPr>
        <w:t xml:space="preserve">À défaut, le rapprochement se fait sur nom, prénoms et date de naissance, avec traitement des cas partiels — sans rejet automatique.</w:t>
      </w:r>
    </w:p>
    <w:p>
      <w:pPr>
        <w:pStyle w:val="ListParagraph"/>
        <w:numPr>
          <w:ilvl w:val="0"/>
          <w:numId w:val="2"/>
        </w:numPr>
        <w:spacing w:after="80"/>
        <w:jc w:val="both"/>
      </w:pPr>
      <w:r>
        <w:rPr>
          <w:b w:val="false"/>
          <w:bCs w:val="false"/>
          <w:sz w:val="22"/>
          <w:szCs w:val="22"/>
        </w:rPr>
        <w:t xml:space="preserve">En dernier ressort, la biométrie à la remise (I4) empêche qu'une même personne reçoive deux terminaux sous deux identifiants.</w:t>
      </w:r>
    </w:p>
    <w:p>
      <w:pPr>
        <w:pStyle w:val="Heading1"/>
        <w:spacing w:after="160" w:before="320"/>
      </w:pPr>
      <w:r>
        <w:rPr>
          <w:b/>
          <w:bCs/>
          <w:color w:val="1F3864"/>
          <w:sz w:val="28"/>
          <w:szCs w:val="28"/>
        </w:rPr>
        <w:t xml:space="preserve">5. Traitement des cas partiels — FIGÉ (principe) · CONCERT. (seuils)</w:t>
      </w:r>
    </w:p>
    <w:p>
      <w:pPr>
        <w:pStyle w:val="ListParagraph"/>
        <w:numPr>
          <w:ilvl w:val="0"/>
          <w:numId w:val="2"/>
        </w:numPr>
        <w:spacing w:after="80"/>
        <w:jc w:val="both"/>
      </w:pPr>
      <w:r>
        <w:rPr>
          <w:b w:val="false"/>
          <w:bCs w:val="false"/>
          <w:sz w:val="22"/>
          <w:szCs w:val="22"/>
        </w:rPr>
        <w:t xml:space="preserve">Variante d'orthographe, prénom abrégé, inversion nom-prénoms : réponse PARTIEL. Le dossier est mis en attente ; le demandeur est invité à confirmer ou corriger ; second passage. Jamais de rejet automatique.</w:t>
      </w:r>
    </w:p>
    <w:p>
      <w:pPr>
        <w:pStyle w:val="ListParagraph"/>
        <w:numPr>
          <w:ilvl w:val="0"/>
          <w:numId w:val="2"/>
        </w:numPr>
        <w:spacing w:after="80"/>
        <w:jc w:val="both"/>
      </w:pPr>
      <w:r>
        <w:rPr>
          <w:b w:val="false"/>
          <w:bCs w:val="false"/>
          <w:sz w:val="22"/>
          <w:szCs w:val="22"/>
        </w:rPr>
        <w:t xml:space="preserve">Date de naissance incomplète (année seule) : réponse PARTIEL ; I3 est posé sur l'année ; en cas de doute sur la majorité, le dossier attend.</w:t>
      </w:r>
    </w:p>
    <w:p>
      <w:pPr>
        <w:pStyle w:val="ListParagraph"/>
        <w:numPr>
          <w:ilvl w:val="0"/>
          <w:numId w:val="2"/>
        </w:numPr>
        <w:spacing w:after="80"/>
        <w:jc w:val="both"/>
      </w:pPr>
      <w:r>
        <w:rPr>
          <w:b w:val="false"/>
          <w:bCs w:val="false"/>
          <w:sz w:val="22"/>
          <w:szCs w:val="22"/>
        </w:rPr>
        <w:t xml:space="preserve">Identifiant non attribué ou inconnu : réponse INCONNU ; orientation vers l'enrôlement — CMU en priorité, parce que gratuit et de proximité.</w:t>
      </w:r>
    </w:p>
    <w:p>
      <w:pPr>
        <w:pStyle w:val="ListParagraph"/>
        <w:numPr>
          <w:ilvl w:val="0"/>
          <w:numId w:val="2"/>
        </w:numPr>
        <w:spacing w:after="80"/>
        <w:jc w:val="both"/>
      </w:pPr>
      <w:r>
        <w:rPr>
          <w:b w:val="false"/>
          <w:bCs w:val="false"/>
          <w:sz w:val="22"/>
          <w:szCs w:val="22"/>
        </w:rPr>
        <w:t xml:space="preserve">Données divergentes entre RNPP et CMU pour une même personne : dossier en attente ; traitement conjoint ; aucun des deux registres ne prévaut par défaut.</w:t>
      </w:r>
    </w:p>
    <w:p>
      <w:pPr>
        <w:pStyle w:val="Heading1"/>
        <w:spacing w:after="160" w:before="320"/>
      </w:pPr>
      <w:r>
        <w:rPr>
          <w:b/>
          <w:bCs/>
          <w:color w:val="1F3864"/>
          <w:sz w:val="28"/>
          <w:szCs w:val="28"/>
        </w:rPr>
        <w:t xml:space="preserve">5bis. Le parcours de régularisation — statut « À RÉGULARISER »</w:t>
      </w:r>
    </w:p>
    <w:p>
      <w:pPr>
        <w:spacing w:after="160" w:before="0"/>
        <w:jc w:val="both"/>
      </w:pPr>
      <w:r>
        <w:rPr>
          <w:b w:val="false"/>
          <w:bCs w:val="false"/>
          <w:i w:val="false"/>
          <w:iCs w:val="false"/>
          <w:sz w:val="22"/>
          <w:szCs w:val="22"/>
        </w:rPr>
        <w:t xml:space="preserve">L'absence de pièce immédiatement exploitable ne doit pas entraîner automatiquement l'exclusion de PASS. Elle déclenche un parcours d'orientation, avec une décision finale une fois l'identité minimale établie selon une procédure reconnue. PASS ne devient pas lui-même un système de création d'identité : il s'appuie sur les institutions compétentes.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shd w:fill="1F3864" w:val="clear"/>
            <w:tcMar>
              <w:top w:type="dxa" w:w="80"/>
              <w:left w:type="dxa" w:w="120"/>
              <w:bottom w:type="dxa" w:w="80"/>
              <w:right w:type="dxa" w:w="120"/>
            </w:tcMar>
          </w:tcPr>
          <w:p>
            <w:pPr>
              <w:spacing w:after="0"/>
            </w:pPr>
            <w:r>
              <w:rPr>
                <w:b/>
                <w:bCs/>
                <w:color w:val="FFFFFF"/>
                <w:sz w:val="20"/>
                <w:szCs w:val="20"/>
              </w:rPr>
              <w:t xml:space="preserve">Résultat</w:t>
            </w:r>
          </w:p>
        </w:tc>
        <w:tc>
          <w:tcPr>
            <w:tcW w:type="dxa" w:w="5960"/>
            <w:shd w:fill="1F3864" w:val="clear"/>
            <w:tcMar>
              <w:top w:type="dxa" w:w="80"/>
              <w:left w:type="dxa" w:w="120"/>
              <w:bottom w:type="dxa" w:w="80"/>
              <w:right w:type="dxa" w:w="120"/>
            </w:tcMar>
          </w:tcPr>
          <w:p>
            <w:pPr>
              <w:spacing w:after="0"/>
            </w:pPr>
            <w:r>
              <w:rPr>
                <w:b/>
                <w:bCs/>
                <w:color w:val="FFFFFF"/>
                <w:sz w:val="20"/>
                <w:szCs w:val="20"/>
              </w:rPr>
              <w:t xml:space="preserve">Conséquence</w:t>
            </w:r>
          </w:p>
        </w:tc>
      </w:tr>
      <w:tr>
        <w:tc>
          <w:tcPr>
            <w:tcW w:type="dxa" w:w="3200"/>
            <w:tcMar>
              <w:top w:type="dxa" w:w="80"/>
              <w:left w:type="dxa" w:w="120"/>
              <w:bottom w:type="dxa" w:w="80"/>
              <w:right w:type="dxa" w:w="120"/>
            </w:tcMar>
          </w:tcPr>
          <w:p>
            <w:pPr>
              <w:spacing w:after="0"/>
            </w:pPr>
            <w:r>
              <w:rPr>
                <w:sz w:val="20"/>
                <w:szCs w:val="20"/>
              </w:rPr>
              <w:t xml:space="preserve">Identité confirmée</w:t>
            </w:r>
          </w:p>
        </w:tc>
        <w:tc>
          <w:tcPr>
            <w:tcW w:type="dxa" w:w="5960"/>
            <w:tcMar>
              <w:top w:type="dxa" w:w="80"/>
              <w:left w:type="dxa" w:w="120"/>
              <w:bottom w:type="dxa" w:w="80"/>
              <w:right w:type="dxa" w:w="120"/>
            </w:tcMar>
          </w:tcPr>
          <w:p>
            <w:pPr>
              <w:spacing w:after="0"/>
            </w:pPr>
            <w:r>
              <w:rPr>
                <w:sz w:val="20"/>
                <w:szCs w:val="20"/>
              </w:rPr>
              <w:t xml:space="preserve">Le parcours PASS continue normalement.</w:t>
            </w:r>
          </w:p>
        </w:tc>
      </w:tr>
      <w:tr>
        <w:tc>
          <w:tcPr>
            <w:tcW w:type="dxa" w:w="3200"/>
            <w:shd w:fill="F4F6FA" w:val="clear"/>
            <w:tcMar>
              <w:top w:type="dxa" w:w="80"/>
              <w:left w:type="dxa" w:w="120"/>
              <w:bottom w:type="dxa" w:w="80"/>
              <w:right w:type="dxa" w:w="120"/>
            </w:tcMar>
          </w:tcPr>
          <w:p>
            <w:pPr>
              <w:spacing w:after="0"/>
            </w:pPr>
            <w:r>
              <w:rPr>
                <w:sz w:val="20"/>
                <w:szCs w:val="20"/>
              </w:rPr>
              <w:t xml:space="preserve">Identité non confirmée (INCONNU)</w:t>
            </w:r>
          </w:p>
        </w:tc>
        <w:tc>
          <w:tcPr>
            <w:tcW w:type="dxa" w:w="5960"/>
            <w:shd w:fill="F4F6FA" w:val="clear"/>
            <w:tcMar>
              <w:top w:type="dxa" w:w="80"/>
              <w:left w:type="dxa" w:w="120"/>
              <w:bottom w:type="dxa" w:w="80"/>
              <w:right w:type="dxa" w:w="120"/>
            </w:tcMar>
          </w:tcPr>
          <w:p>
            <w:pPr>
              <w:spacing w:after="0"/>
            </w:pPr>
            <w:r>
              <w:rPr>
                <w:sz w:val="20"/>
                <w:szCs w:val="20"/>
              </w:rPr>
              <w:t xml:space="preserve">La demande est suspendue ; orientation vers l'enrôlement, CMU en priorité (gratuit, de proximité).</w:t>
            </w:r>
          </w:p>
        </w:tc>
      </w:tr>
      <w:tr>
        <w:tc>
          <w:tcPr>
            <w:tcW w:type="dxa" w:w="3200"/>
            <w:tcMar>
              <w:top w:type="dxa" w:w="80"/>
              <w:left w:type="dxa" w:w="120"/>
              <w:bottom w:type="dxa" w:w="80"/>
              <w:right w:type="dxa" w:w="120"/>
            </w:tcMar>
          </w:tcPr>
          <w:p>
            <w:pPr>
              <w:spacing w:after="0"/>
            </w:pPr>
            <w:r>
              <w:rPr>
                <w:sz w:val="20"/>
                <w:szCs w:val="20"/>
              </w:rPr>
              <w:t xml:space="preserve">Données insuffisantes (À RÉGULARISER)</w:t>
            </w:r>
          </w:p>
        </w:tc>
        <w:tc>
          <w:tcPr>
            <w:tcW w:type="dxa" w:w="5960"/>
            <w:tcMar>
              <w:top w:type="dxa" w:w="80"/>
              <w:left w:type="dxa" w:w="120"/>
              <w:bottom w:type="dxa" w:w="80"/>
              <w:right w:type="dxa" w:w="120"/>
            </w:tcMar>
          </w:tcPr>
          <w:p>
            <w:pPr>
              <w:spacing w:after="0"/>
            </w:pPr>
            <w:r>
              <w:rPr>
                <w:sz w:val="20"/>
                <w:szCs w:val="20"/>
              </w:rPr>
              <w:t xml:space="preserve">La demande n'est pas rejetée. Statut affiché au demandeur : « éligibilité en attente — identité à régulariser ».</w:t>
            </w:r>
          </w:p>
        </w:tc>
      </w:tr>
      <w:tr>
        <w:tc>
          <w:tcPr>
            <w:tcW w:type="dxa" w:w="3200"/>
            <w:shd w:fill="F4F6FA" w:val="clear"/>
            <w:tcMar>
              <w:top w:type="dxa" w:w="80"/>
              <w:left w:type="dxa" w:w="120"/>
              <w:bottom w:type="dxa" w:w="80"/>
              <w:right w:type="dxa" w:w="120"/>
            </w:tcMar>
          </w:tcPr>
          <w:p>
            <w:pPr>
              <w:spacing w:after="0"/>
            </w:pPr>
            <w:r>
              <w:rPr>
                <w:sz w:val="20"/>
                <w:szCs w:val="20"/>
              </w:rPr>
              <w:t xml:space="preserve">Situation exceptionnelle</w:t>
            </w:r>
          </w:p>
        </w:tc>
        <w:tc>
          <w:tcPr>
            <w:tcW w:type="dxa" w:w="5960"/>
            <w:shd w:fill="F4F6FA" w:val="clear"/>
            <w:tcMar>
              <w:top w:type="dxa" w:w="80"/>
              <w:left w:type="dxa" w:w="120"/>
              <w:bottom w:type="dxa" w:w="80"/>
              <w:right w:type="dxa" w:w="120"/>
            </w:tcMar>
          </w:tcPr>
          <w:p>
            <w:pPr>
              <w:spacing w:after="0"/>
            </w:pPr>
            <w:r>
              <w:rPr>
                <w:sz w:val="20"/>
                <w:szCs w:val="20"/>
              </w:rPr>
              <w:t xml:space="preserve">Le dossier suit la procédure définie avec l'ARTCI et les institutions concernées — voir CONCERT.</w:t>
            </w:r>
          </w:p>
        </w:tc>
      </w:tr>
    </w:tbl>
    <w:p>
      <w:pPr>
        <w:pStyle w:val="ListParagraph"/>
        <w:numPr>
          <w:ilvl w:val="0"/>
          <w:numId w:val="2"/>
        </w:numPr>
        <w:spacing w:after="80"/>
        <w:jc w:val="both"/>
      </w:pPr>
      <w:r>
        <w:rPr>
          <w:b w:val="false"/>
          <w:bCs w:val="false"/>
          <w:sz w:val="22"/>
          <w:szCs w:val="22"/>
        </w:rPr>
        <w:t xml:space="preserve">Cas couverts par À RÉGULARISER : absence de CNI, pièce expirée ou perdue, SIM enregistrée avec des informations incomplètes, ligne utilisée par la personne mais enregistrée au nom d'un proche, personne connue d'un dispositif social mais insuffisamment documentée sur le plan de l'identité.</w:t>
      </w:r>
    </w:p>
    <w:p>
      <w:pPr>
        <w:pStyle w:val="ListParagraph"/>
        <w:numPr>
          <w:ilvl w:val="0"/>
          <w:numId w:val="2"/>
        </w:numPr>
        <w:spacing w:after="80"/>
        <w:jc w:val="both"/>
      </w:pPr>
      <w:r>
        <w:rPr>
          <w:b w:val="false"/>
          <w:bCs w:val="false"/>
          <w:sz w:val="22"/>
          <w:szCs w:val="22"/>
        </w:rPr>
        <w:t xml:space="preserve">PASS ne résout pas ces cas lui-même : il oriente vers le dispositif compétent (ONECI, CNAM, RSU selon le cas) et permet au demandeur de reprendre son parcours après régularisation, sans nouvelle candidature.</w:t>
      </w:r>
    </w:p>
    <w:p>
      <w:pPr>
        <w:spacing w:after="160" w:before="80"/>
        <w:jc w:val="both"/>
      </w:pPr>
      <w:r>
        <w:rPr>
          <w:b w:val="false"/>
          <w:bCs w:val="false"/>
          <w:i/>
          <w:iCs/>
          <w:sz w:val="22"/>
          <w:szCs w:val="22"/>
        </w:rPr>
        <w:t xml:space="preserve">Objectif : éviter deux erreurs symétriques — attribuer plusieurs terminaux à la même personne, et exclure automatiquement les citoyens les plus vulnérables parce que leurs données administratives sont imparfaites.</w:t>
      </w:r>
    </w:p>
    <w:p>
      <w:pPr>
        <w:pStyle w:val="Heading1"/>
        <w:spacing w:after="160" w:before="320"/>
      </w:pPr>
      <w:r>
        <w:rPr>
          <w:b/>
          <w:bCs/>
          <w:color w:val="1F3864"/>
          <w:sz w:val="28"/>
          <w:szCs w:val="28"/>
        </w:rPr>
        <w:t xml:space="preserve">6. Modes, sécurité, niveau de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shd w:fill="1F3864" w:val="clear"/>
            <w:tcMar>
              <w:top w:type="dxa" w:w="80"/>
              <w:left w:type="dxa" w:w="120"/>
              <w:bottom w:type="dxa" w:w="80"/>
              <w:right w:type="dxa" w:w="120"/>
            </w:tcMar>
          </w:tcPr>
          <w:p>
            <w:pPr>
              <w:spacing w:after="0"/>
            </w:pPr>
            <w:r>
              <w:rPr>
                <w:b/>
                <w:bCs/>
                <w:color w:val="FFFFFF"/>
                <w:sz w:val="20"/>
                <w:szCs w:val="20"/>
              </w:rPr>
              <w:t xml:space="preserve">Élément</w:t>
            </w:r>
          </w:p>
        </w:tc>
        <w:tc>
          <w:tcPr>
            <w:tcW w:type="dxa" w:w="5200"/>
            <w:shd w:fill="1F3864" w:val="clear"/>
            <w:tcMar>
              <w:top w:type="dxa" w:w="80"/>
              <w:left w:type="dxa" w:w="120"/>
              <w:bottom w:type="dxa" w:w="80"/>
              <w:right w:type="dxa" w:w="120"/>
            </w:tcMar>
          </w:tcPr>
          <w:p>
            <w:pPr>
              <w:spacing w:after="0"/>
            </w:pPr>
            <w:r>
              <w:rPr>
                <w:b/>
                <w:bCs/>
                <w:color w:val="FFFFFF"/>
                <w:sz w:val="20"/>
                <w:szCs w:val="20"/>
              </w:rPr>
              <w:t xml:space="preserve">Attendu</w:t>
            </w:r>
          </w:p>
        </w:tc>
        <w:tc>
          <w:tcPr>
            <w:tcW w:type="dxa" w:w="1760"/>
            <w:shd w:fill="1F3864" w:val="clear"/>
            <w:tcMar>
              <w:top w:type="dxa" w:w="80"/>
              <w:left w:type="dxa" w:w="120"/>
              <w:bottom w:type="dxa" w:w="80"/>
              <w:right w:type="dxa" w:w="120"/>
            </w:tcMar>
          </w:tcPr>
          <w:p>
            <w:pPr>
              <w:spacing w:after="0"/>
            </w:pPr>
            <w:r>
              <w:rPr>
                <w:b/>
                <w:bCs/>
                <w:color w:val="FFFFFF"/>
                <w:sz w:val="20"/>
                <w:szCs w:val="20"/>
              </w:rPr>
              <w:t xml:space="preserve">Statut</w:t>
            </w:r>
          </w:p>
        </w:tc>
      </w:tr>
      <w:tr>
        <w:tc>
          <w:tcPr>
            <w:tcW w:type="dxa" w:w="2400"/>
            <w:tcMar>
              <w:top w:type="dxa" w:w="80"/>
              <w:left w:type="dxa" w:w="120"/>
              <w:bottom w:type="dxa" w:w="80"/>
              <w:right w:type="dxa" w:w="120"/>
            </w:tcMar>
          </w:tcPr>
          <w:p>
            <w:pPr>
              <w:spacing w:after="0"/>
            </w:pPr>
            <w:r>
              <w:rPr>
                <w:sz w:val="20"/>
                <w:szCs w:val="20"/>
              </w:rPr>
              <w:t xml:space="preserve">Mode par lots</w:t>
            </w:r>
          </w:p>
        </w:tc>
        <w:tc>
          <w:tcPr>
            <w:tcW w:type="dxa" w:w="5200"/>
            <w:tcMar>
              <w:top w:type="dxa" w:w="80"/>
              <w:left w:type="dxa" w:w="120"/>
              <w:bottom w:type="dxa" w:w="80"/>
              <w:right w:type="dxa" w:w="120"/>
            </w:tcMar>
          </w:tcPr>
          <w:p>
            <w:pPr>
              <w:spacing w:after="0"/>
            </w:pPr>
            <w:r>
              <w:rPr>
                <w:sz w:val="20"/>
                <w:szCs w:val="20"/>
              </w:rPr>
              <w:t xml:space="preserve">I1, I2, I3, I5 à la clôture de chaque fenêtre d'inscription — mode de référence du pilote</w:t>
            </w:r>
          </w:p>
        </w:tc>
        <w:tc>
          <w:tcPr>
            <w:tcW w:type="dxa" w:w="1760"/>
            <w:tcMar>
              <w:top w:type="dxa" w:w="80"/>
              <w:left w:type="dxa" w:w="120"/>
              <w:bottom w:type="dxa" w:w="80"/>
              <w:right w:type="dxa" w:w="120"/>
            </w:tcMar>
          </w:tcPr>
          <w:p>
            <w:pPr>
              <w:spacing w:after="0"/>
            </w:pPr>
            <w:r>
              <w:rPr>
                <w:sz w:val="20"/>
                <w:szCs w:val="20"/>
              </w:rPr>
              <w:t xml:space="preserve">FIGÉ pour le pilote</w:t>
            </w:r>
          </w:p>
        </w:tc>
      </w:tr>
      <w:tr>
        <w:tc>
          <w:tcPr>
            <w:tcW w:type="dxa" w:w="2400"/>
            <w:shd w:fill="F4F6FA" w:val="clear"/>
            <w:tcMar>
              <w:top w:type="dxa" w:w="80"/>
              <w:left w:type="dxa" w:w="120"/>
              <w:bottom w:type="dxa" w:w="80"/>
              <w:right w:type="dxa" w:w="120"/>
            </w:tcMar>
          </w:tcPr>
          <w:p>
            <w:pPr>
              <w:spacing w:after="0"/>
            </w:pPr>
            <w:r>
              <w:rPr>
                <w:sz w:val="20"/>
                <w:szCs w:val="20"/>
              </w:rPr>
              <w:t xml:space="preserve">Mode à l’unité</w:t>
            </w:r>
          </w:p>
        </w:tc>
        <w:tc>
          <w:tcPr>
            <w:tcW w:type="dxa" w:w="5200"/>
            <w:shd w:fill="F4F6FA" w:val="clear"/>
            <w:tcMar>
              <w:top w:type="dxa" w:w="80"/>
              <w:left w:type="dxa" w:w="120"/>
              <w:bottom w:type="dxa" w:w="80"/>
              <w:right w:type="dxa" w:w="120"/>
            </w:tcMar>
          </w:tcPr>
          <w:p>
            <w:pPr>
              <w:spacing w:after="0"/>
            </w:pPr>
            <w:r>
              <w:rPr>
                <w:sz w:val="20"/>
                <w:szCs w:val="20"/>
              </w:rPr>
              <w:t xml:space="preserve">I4 à la remise ; I1 à I3 au dépôt en point d'accueil</w:t>
            </w:r>
          </w:p>
        </w:tc>
        <w:tc>
          <w:tcPr>
            <w:tcW w:type="dxa" w:w="1760"/>
            <w:shd w:fill="F4F6FA" w:val="clear"/>
            <w:tcMar>
              <w:top w:type="dxa" w:w="80"/>
              <w:left w:type="dxa" w:w="120"/>
              <w:bottom w:type="dxa" w:w="80"/>
              <w:right w:type="dxa" w:w="120"/>
            </w:tcMar>
          </w:tcPr>
          <w:p>
            <w:pPr>
              <w:spacing w:after="0"/>
            </w:pPr>
            <w:r>
              <w:rPr>
                <w:sz w:val="20"/>
                <w:szCs w:val="20"/>
              </w:rPr>
              <w:t xml:space="preserve">CONCERT.</w:t>
            </w:r>
          </w:p>
        </w:tc>
      </w:tr>
      <w:tr>
        <w:tc>
          <w:tcPr>
            <w:tcW w:type="dxa" w:w="2400"/>
            <w:tcMar>
              <w:top w:type="dxa" w:w="80"/>
              <w:left w:type="dxa" w:w="120"/>
              <w:bottom w:type="dxa" w:w="80"/>
              <w:right w:type="dxa" w:w="120"/>
            </w:tcMar>
          </w:tcPr>
          <w:p>
            <w:pPr>
              <w:spacing w:after="0"/>
            </w:pPr>
            <w:r>
              <w:rPr>
                <w:sz w:val="20"/>
                <w:szCs w:val="20"/>
              </w:rPr>
              <w:t xml:space="preserve">Sécurité</w:t>
            </w:r>
          </w:p>
        </w:tc>
        <w:tc>
          <w:tcPr>
            <w:tcW w:type="dxa" w:w="5200"/>
            <w:tcMar>
              <w:top w:type="dxa" w:w="80"/>
              <w:left w:type="dxa" w:w="120"/>
              <w:bottom w:type="dxa" w:w="80"/>
              <w:right w:type="dxa" w:w="120"/>
            </w:tcMar>
          </w:tcPr>
          <w:p>
            <w:pPr>
              <w:spacing w:after="0"/>
            </w:pPr>
            <w:r>
              <w:rPr>
                <w:sz w:val="20"/>
                <w:szCs w:val="20"/>
              </w:rPr>
              <w:t xml:space="preserve">Authentification mutuelle, chiffrement, comptes nominatifs, journalisation des deux côtés</w:t>
            </w:r>
          </w:p>
        </w:tc>
        <w:tc>
          <w:tcPr>
            <w:tcW w:type="dxa" w:w="1760"/>
            <w:tcMar>
              <w:top w:type="dxa" w:w="80"/>
              <w:left w:type="dxa" w:w="120"/>
              <w:bottom w:type="dxa" w:w="80"/>
              <w:right w:type="dxa" w:w="120"/>
            </w:tcMar>
          </w:tcPr>
          <w:p>
            <w:pPr>
              <w:spacing w:after="0"/>
            </w:pPr>
            <w:r>
              <w:rPr>
                <w:sz w:val="20"/>
                <w:szCs w:val="20"/>
              </w:rPr>
              <w:t xml:space="preserve">FIGÉ</w:t>
            </w:r>
          </w:p>
        </w:tc>
      </w:tr>
      <w:tr>
        <w:tc>
          <w:tcPr>
            <w:tcW w:type="dxa" w:w="2400"/>
            <w:shd w:fill="F4F6FA" w:val="clear"/>
            <w:tcMar>
              <w:top w:type="dxa" w:w="80"/>
              <w:left w:type="dxa" w:w="120"/>
              <w:bottom w:type="dxa" w:w="80"/>
              <w:right w:type="dxa" w:w="120"/>
            </w:tcMar>
          </w:tcPr>
          <w:p>
            <w:pPr>
              <w:spacing w:after="0"/>
            </w:pPr>
            <w:r>
              <w:rPr>
                <w:sz w:val="20"/>
                <w:szCs w:val="20"/>
              </w:rPr>
              <w:t xml:space="preserve">Délais</w:t>
            </w:r>
          </w:p>
        </w:tc>
        <w:tc>
          <w:tcPr>
            <w:tcW w:type="dxa" w:w="5200"/>
            <w:shd w:fill="F4F6FA" w:val="clear"/>
            <w:tcMar>
              <w:top w:type="dxa" w:w="80"/>
              <w:left w:type="dxa" w:w="120"/>
              <w:bottom w:type="dxa" w:w="80"/>
              <w:right w:type="dxa" w:w="120"/>
            </w:tcMar>
          </w:tcPr>
          <w:p>
            <w:pPr>
              <w:spacing w:after="0"/>
            </w:pPr>
            <w:r>
              <w:rPr>
                <w:sz w:val="20"/>
                <w:szCs w:val="20"/>
              </w:rPr>
              <w:t xml:space="preserve">À DÉFINIR — proposition : cinq jours ouvrés par lot, moins d’une minute à l’unité</w:t>
            </w:r>
          </w:p>
        </w:tc>
        <w:tc>
          <w:tcPr>
            <w:tcW w:type="dxa" w:w="1760"/>
            <w:shd w:fill="F4F6FA" w:val="clear"/>
            <w:tcMar>
              <w:top w:type="dxa" w:w="80"/>
              <w:left w:type="dxa" w:w="120"/>
              <w:bottom w:type="dxa" w:w="80"/>
              <w:right w:type="dxa" w:w="120"/>
            </w:tcMar>
          </w:tcPr>
          <w:p>
            <w:pPr>
              <w:spacing w:after="0"/>
            </w:pPr>
            <w:r>
              <w:rPr>
                <w:sz w:val="20"/>
                <w:szCs w:val="20"/>
              </w:rPr>
              <w:t xml:space="preserve">CONCERT.</w:t>
            </w:r>
          </w:p>
        </w:tc>
      </w:tr>
      <w:tr>
        <w:tc>
          <w:tcPr>
            <w:tcW w:type="dxa" w:w="2400"/>
            <w:tcMar>
              <w:top w:type="dxa" w:w="80"/>
              <w:left w:type="dxa" w:w="120"/>
              <w:bottom w:type="dxa" w:w="80"/>
              <w:right w:type="dxa" w:w="120"/>
            </w:tcMar>
          </w:tcPr>
          <w:p>
            <w:pPr>
              <w:spacing w:after="0"/>
            </w:pPr>
            <w:r>
              <w:rPr>
                <w:sz w:val="20"/>
                <w:szCs w:val="20"/>
              </w:rPr>
              <w:t xml:space="preserve">Référent</w:t>
            </w:r>
          </w:p>
        </w:tc>
        <w:tc>
          <w:tcPr>
            <w:tcW w:type="dxa" w:w="5200"/>
            <w:tcMar>
              <w:top w:type="dxa" w:w="80"/>
              <w:left w:type="dxa" w:w="120"/>
              <w:bottom w:type="dxa" w:w="80"/>
              <w:right w:type="dxa" w:w="120"/>
            </w:tcMar>
          </w:tcPr>
          <w:p>
            <w:pPr>
              <w:spacing w:after="0"/>
            </w:pPr>
            <w:r>
              <w:rPr>
                <w:sz w:val="20"/>
                <w:szCs w:val="20"/>
              </w:rPr>
              <w:t xml:space="preserve">Un point focal désigné par registre</w:t>
            </w:r>
          </w:p>
        </w:tc>
        <w:tc>
          <w:tcPr>
            <w:tcW w:type="dxa" w:w="1760"/>
            <w:tcMar>
              <w:top w:type="dxa" w:w="80"/>
              <w:left w:type="dxa" w:w="120"/>
              <w:bottom w:type="dxa" w:w="80"/>
              <w:right w:type="dxa" w:w="120"/>
            </w:tcMar>
          </w:tcPr>
          <w:p>
            <w:pPr>
              <w:spacing w:after="0"/>
            </w:pPr>
            <w:r>
              <w:rPr>
                <w:sz w:val="20"/>
                <w:szCs w:val="20"/>
              </w:rPr>
              <w:t xml:space="preserve">FIGÉ</w:t>
            </w:r>
          </w:p>
        </w:tc>
      </w:tr>
    </w:tbl>
    <w:p>
      <w:pPr>
        <w:pStyle w:val="Heading2"/>
        <w:spacing w:after="120" w:before="240"/>
      </w:pPr>
      <w:r>
        <w:rPr>
          <w:b/>
          <w:bCs/>
          <w:color w:val="1F3864"/>
          <w:sz w:val="24"/>
          <w:szCs w:val="24"/>
        </w:rPr>
        <w:t xml:space="preserve">Ce qui existe déjà — et la question à poser à chaque registre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shd w:fill="1F3864" w:val="clear"/>
            <w:tcMar>
              <w:top w:type="dxa" w:w="80"/>
              <w:left w:type="dxa" w:w="120"/>
              <w:bottom w:type="dxa" w:w="80"/>
              <w:right w:type="dxa" w:w="120"/>
            </w:tcMar>
          </w:tcPr>
          <w:p>
            <w:pPr>
              <w:spacing w:after="0"/>
            </w:pPr>
            <w:r>
              <w:rPr>
                <w:b/>
                <w:bCs/>
                <w:color w:val="FFFFFF"/>
                <w:sz w:val="20"/>
                <w:szCs w:val="20"/>
              </w:rPr>
              <w:t xml:space="preserve">Registre</w:t>
            </w:r>
          </w:p>
        </w:tc>
        <w:tc>
          <w:tcPr>
            <w:tcW w:type="dxa" w:w="4000"/>
            <w:shd w:fill="1F3864" w:val="clear"/>
            <w:tcMar>
              <w:top w:type="dxa" w:w="80"/>
              <w:left w:type="dxa" w:w="120"/>
              <w:bottom w:type="dxa" w:w="80"/>
              <w:right w:type="dxa" w:w="120"/>
            </w:tcMar>
          </w:tcPr>
          <w:p>
            <w:pPr>
              <w:spacing w:after="0"/>
            </w:pPr>
            <w:r>
              <w:rPr>
                <w:b/>
                <w:bCs/>
                <w:color w:val="FFFFFF"/>
                <w:sz w:val="20"/>
                <w:szCs w:val="20"/>
              </w:rPr>
              <w:t xml:space="preserve">Ce qui existe</w:t>
            </w:r>
          </w:p>
        </w:tc>
        <w:tc>
          <w:tcPr>
            <w:tcW w:type="dxa" w:w="3860"/>
            <w:shd w:fill="1F3864" w:val="clear"/>
            <w:tcMar>
              <w:top w:type="dxa" w:w="80"/>
              <w:left w:type="dxa" w:w="120"/>
              <w:bottom w:type="dxa" w:w="80"/>
              <w:right w:type="dxa" w:w="120"/>
            </w:tcMar>
          </w:tcPr>
          <w:p>
            <w:pPr>
              <w:spacing w:after="0"/>
            </w:pPr>
            <w:r>
              <w:rPr>
                <w:b/>
                <w:bCs/>
                <w:color w:val="FFFFFF"/>
                <w:sz w:val="20"/>
                <w:szCs w:val="20"/>
              </w:rPr>
              <w:t xml:space="preserve">La question précise</w:t>
            </w:r>
          </w:p>
        </w:tc>
      </w:tr>
      <w:tr>
        <w:tc>
          <w:tcPr>
            <w:tcW w:type="dxa" w:w="1500"/>
            <w:tcMar>
              <w:top w:type="dxa" w:w="80"/>
              <w:left w:type="dxa" w:w="120"/>
              <w:bottom w:type="dxa" w:w="80"/>
              <w:right w:type="dxa" w:w="120"/>
            </w:tcMar>
          </w:tcPr>
          <w:p>
            <w:pPr>
              <w:spacing w:after="0"/>
            </w:pPr>
            <w:r>
              <w:rPr>
                <w:sz w:val="20"/>
                <w:szCs w:val="20"/>
              </w:rPr>
              <w:t xml:space="preserve">ONECI</w:t>
            </w:r>
          </w:p>
        </w:tc>
        <w:tc>
          <w:tcPr>
            <w:tcW w:type="dxa" w:w="4000"/>
            <w:tcMar>
              <w:top w:type="dxa" w:w="80"/>
              <w:left w:type="dxa" w:w="120"/>
              <w:bottom w:type="dxa" w:w="80"/>
              <w:right w:type="dxa" w:w="120"/>
            </w:tcMar>
          </w:tcPr>
          <w:p>
            <w:pPr>
              <w:spacing w:after="0"/>
            </w:pPr>
            <w:r>
              <w:rPr>
                <w:sz w:val="20"/>
                <w:szCs w:val="20"/>
              </w:rPr>
              <w:t xml:space="preserve">Un service d'authentification de titre d'identité, un service de pré-identification garantissant l'authenticité du titre auprès des opérateurs, un terminal de vérification (TVI). Ces services s'adressent aujourd'hui à l'usager, à l'acte.</w:t>
            </w:r>
          </w:p>
        </w:tc>
        <w:tc>
          <w:tcPr>
            <w:tcW w:type="dxa" w:w="3860"/>
            <w:tcMar>
              <w:top w:type="dxa" w:w="80"/>
              <w:left w:type="dxa" w:w="120"/>
              <w:bottom w:type="dxa" w:w="80"/>
              <w:right w:type="dxa" w:w="120"/>
            </w:tcMar>
          </w:tcPr>
          <w:p>
            <w:pPr>
              <w:spacing w:after="0"/>
            </w:pPr>
            <w:r>
              <w:rPr>
                <w:sz w:val="20"/>
                <w:szCs w:val="20"/>
              </w:rPr>
              <w:t xml:space="preserve">Votre service d'authentification peut-il être ouvert à l'ANSUT par convention, en mode institutionnel — par lots puis à l'unité — pour les questions I1 à I4 ?</w:t>
            </w:r>
          </w:p>
        </w:tc>
      </w:tr>
      <w:tr>
        <w:tc>
          <w:tcPr>
            <w:tcW w:type="dxa" w:w="1500"/>
            <w:shd w:fill="F4F6FA" w:val="clear"/>
            <w:tcMar>
              <w:top w:type="dxa" w:w="80"/>
              <w:left w:type="dxa" w:w="120"/>
              <w:bottom w:type="dxa" w:w="80"/>
              <w:right w:type="dxa" w:w="120"/>
            </w:tcMar>
          </w:tcPr>
          <w:p>
            <w:pPr>
              <w:spacing w:after="0"/>
            </w:pPr>
            <w:r>
              <w:rPr>
                <w:sz w:val="20"/>
                <w:szCs w:val="20"/>
              </w:rPr>
              <w:t xml:space="preserve">CNAM</w:t>
            </w:r>
          </w:p>
        </w:tc>
        <w:tc>
          <w:tcPr>
            <w:tcW w:type="dxa" w:w="4000"/>
            <w:shd w:fill="F4F6FA" w:val="clear"/>
            <w:tcMar>
              <w:top w:type="dxa" w:w="80"/>
              <w:left w:type="dxa" w:w="120"/>
              <w:bottom w:type="dxa" w:w="80"/>
              <w:right w:type="dxa" w:w="120"/>
            </w:tcMar>
          </w:tcPr>
          <w:p>
            <w:pPr>
              <w:spacing w:after="0"/>
            </w:pPr>
            <w:r>
              <w:rPr>
                <w:sz w:val="20"/>
                <w:szCs w:val="20"/>
              </w:rPr>
              <w:t xml:space="preserve">Une carte biométrique dont le code Datamatrix porte les empreintes, et un serveur de droits consulté en temps réel à l'accueil des structures de santé pour vérifier identité et droits. Le numéro CMU est, par la loi, l'identifiant unique de sécurité sociale.</w:t>
            </w:r>
          </w:p>
        </w:tc>
        <w:tc>
          <w:tcPr>
            <w:tcW w:type="dxa" w:w="3860"/>
            <w:shd w:fill="F4F6FA" w:val="clear"/>
            <w:tcMar>
              <w:top w:type="dxa" w:w="80"/>
              <w:left w:type="dxa" w:w="120"/>
              <w:bottom w:type="dxa" w:w="80"/>
              <w:right w:type="dxa" w:w="120"/>
            </w:tcMar>
          </w:tcPr>
          <w:p>
            <w:pPr>
              <w:spacing w:after="0"/>
            </w:pPr>
            <w:r>
              <w:rPr>
                <w:sz w:val="20"/>
                <w:szCs w:val="20"/>
              </w:rPr>
              <w:t xml:space="preserve">Votre serveur peut-il répondre à une requête d'identité seule — existence, concordance, majorité, empreinte — sans jamais renvoyer les droits ni les données de santé ?</w:t>
            </w:r>
          </w:p>
        </w:tc>
      </w:tr>
      <w:tr>
        <w:tc>
          <w:tcPr>
            <w:tcW w:type="dxa" w:w="1500"/>
            <w:tcMar>
              <w:top w:type="dxa" w:w="80"/>
              <w:left w:type="dxa" w:w="120"/>
              <w:bottom w:type="dxa" w:w="80"/>
              <w:right w:type="dxa" w:w="120"/>
            </w:tcMar>
          </w:tcPr>
          <w:p>
            <w:pPr>
              <w:spacing w:after="0"/>
            </w:pPr>
            <w:r>
              <w:rPr>
                <w:sz w:val="20"/>
                <w:szCs w:val="20"/>
              </w:rPr>
              <w:t xml:space="preserve">Registre Social Unique</w:t>
            </w:r>
          </w:p>
        </w:tc>
        <w:tc>
          <w:tcPr>
            <w:tcW w:type="dxa" w:w="4000"/>
            <w:tcMar>
              <w:top w:type="dxa" w:w="80"/>
              <w:left w:type="dxa" w:w="120"/>
              <w:bottom w:type="dxa" w:w="80"/>
              <w:right w:type="dxa" w:w="120"/>
            </w:tcMar>
          </w:tcPr>
          <w:p>
            <w:pPr>
              <w:spacing w:after="0"/>
            </w:pPr>
            <w:r>
              <w:rPr>
                <w:sz w:val="20"/>
                <w:szCs w:val="20"/>
              </w:rPr>
              <w:t xml:space="preserve">Liste et actualisation des ménages éligibles aux dispositifs sociaux, positionnement historique de PASS pour ce registre. Le mode d'accès institutionnel reste à formaliser.</w:t>
            </w:r>
          </w:p>
        </w:tc>
        <w:tc>
          <w:tcPr>
            <w:tcW w:type="dxa" w:w="3860"/>
            <w:tcMar>
              <w:top w:type="dxa" w:w="80"/>
              <w:left w:type="dxa" w:w="120"/>
              <w:bottom w:type="dxa" w:w="80"/>
              <w:right w:type="dxa" w:w="120"/>
            </w:tcMar>
          </w:tcPr>
          <w:p>
            <w:pPr>
              <w:spacing w:after="0"/>
            </w:pPr>
            <w:r>
              <w:rPr>
                <w:sz w:val="20"/>
                <w:szCs w:val="20"/>
              </w:rPr>
              <w:t xml:space="preserve">Pouvez-vous répondre à une requête fermée — cette personne relève-t-elle du seuil de vulnérabilité retenu par l'État ? — sans transmettre le dossier social sous-jacent ?</w:t>
            </w:r>
          </w:p>
        </w:tc>
      </w:tr>
    </w:tbl>
    <w:p>
      <w:pPr>
        <w:spacing w:after="160" w:before="120"/>
        <w:jc w:val="both"/>
      </w:pPr>
      <w:r>
        <w:rPr>
          <w:b w:val="false"/>
          <w:bCs w:val="false"/>
          <w:i/>
          <w:iCs/>
          <w:sz w:val="22"/>
          <w:szCs w:val="22"/>
        </w:rPr>
        <w:t xml:space="preserve">Des briques de vérification existent déjà. La concertation doit déterminer dans quelle mesure elles peuvent être ouvertes ou adaptées aux besoins institutionnels de PASS, et si des développements complémentaires sont nécessaires.</w:t>
      </w:r>
    </w:p>
    <w:p>
      <w:pPr>
        <w:pStyle w:val="Heading1"/>
        <w:spacing w:after="160" w:before="320"/>
      </w:pPr>
      <w:r>
        <w:rPr>
          <w:b/>
          <w:bCs/>
          <w:color w:val="1F3864"/>
          <w:sz w:val="28"/>
          <w:szCs w:val="28"/>
        </w:rPr>
        <w:t xml:space="preserve">7. Cadre juridique</w:t>
      </w:r>
    </w:p>
    <w:p>
      <w:pPr>
        <w:spacing w:after="160" w:before="0"/>
        <w:jc w:val="both"/>
      </w:pPr>
      <w:r>
        <w:rPr>
          <w:b w:val="false"/>
          <w:bCs w:val="false"/>
          <w:i w:val="false"/>
          <w:iCs w:val="false"/>
          <w:sz w:val="22"/>
          <w:szCs w:val="22"/>
        </w:rPr>
        <w:t xml:space="preserve">Chaque échange est un traitement de données à caractère personnel au sens de la loi n°2013-450 : habilitation ou convention avec l'ONECI pour le RNPP, avec la CNAM pour le registre CMU, avec le Registre Social Unique pour la condition de vulnérabilité ; formalités préalables ; information des demandeurs au dépôt ; rôles de responsable de traitement et de destinataires formalisés avant le pilote. L'activation de la ligne à la remise reste soumise aux titres admis par le décret n°2017-193 : la carte CMU n'en est pas un — point à confirmer avec l'ARTCI, et à traiter dans le parcours si nécessaire.</w:t>
      </w:r>
    </w:p>
    <w:p>
      <w:pPr>
        <w:pStyle w:val="Heading1"/>
        <w:spacing w:after="160" w:before="320"/>
      </w:pPr>
      <w:r>
        <w:rPr>
          <w:b/>
          <w:bCs/>
          <w:color w:val="1F3864"/>
          <w:sz w:val="28"/>
          <w:szCs w:val="28"/>
        </w:rPr>
        <w:t xml:space="preserve">8. Ce que PASS ne demande pas</w:t>
      </w:r>
    </w:p>
    <w:p>
      <w:pPr>
        <w:pStyle w:val="ListParagraph"/>
        <w:numPr>
          <w:ilvl w:val="0"/>
          <w:numId w:val="2"/>
        </w:numPr>
        <w:spacing w:after="80"/>
        <w:jc w:val="both"/>
      </w:pPr>
      <w:r>
        <w:rPr>
          <w:b w:val="false"/>
          <w:bCs w:val="false"/>
          <w:sz w:val="22"/>
          <w:szCs w:val="22"/>
        </w:rPr>
        <w:t xml:space="preserve">Un accès aux bases, une extraction, une liste.</w:t>
      </w:r>
    </w:p>
    <w:p>
      <w:pPr>
        <w:pStyle w:val="ListParagraph"/>
        <w:numPr>
          <w:ilvl w:val="0"/>
          <w:numId w:val="2"/>
        </w:numPr>
        <w:spacing w:after="80"/>
        <w:jc w:val="both"/>
      </w:pPr>
      <w:r>
        <w:rPr>
          <w:b w:val="false"/>
          <w:bCs w:val="false"/>
          <w:sz w:val="22"/>
          <w:szCs w:val="22"/>
        </w:rPr>
        <w:t xml:space="preserve">Une donnée de santé, ou le détail d'un dossier social — revenu, composition du ménage, motif de vulnérabilité. Seul un verdict binaire est demandé au Registre Social Unique.</w:t>
      </w:r>
    </w:p>
    <w:p>
      <w:pPr>
        <w:pStyle w:val="ListParagraph"/>
        <w:numPr>
          <w:ilvl w:val="0"/>
          <w:numId w:val="2"/>
        </w:numPr>
        <w:spacing w:after="80"/>
        <w:jc w:val="both"/>
      </w:pPr>
      <w:r>
        <w:rPr>
          <w:b w:val="false"/>
          <w:bCs w:val="false"/>
          <w:sz w:val="22"/>
          <w:szCs w:val="22"/>
        </w:rPr>
        <w:t xml:space="preserve">Un engagement immédiat : ce document décrit l'attendu ; la faisabilité et les modalités sont l'objet de la concertation.</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tabs>
        <w:tab w:val="right" w:pos="9360"/>
      </w:tabs>
      <w:spacing w:before="60"/>
    </w:pPr>
    <w:r>
      <w:rPr>
        <w:color w:val="595959"/>
        <w:sz w:val="16"/>
        <w:szCs w:val="16"/>
      </w:rPr>
      <w:t xml:space="preserve">Agence Nationale du Service Universel des Télécommunications/TIC</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tabs>
        <w:tab w:val="right" w:pos="9360"/>
      </w:tabs>
      <w:spacing w:after="60"/>
    </w:pPr>
    <w:r>
      <w:rPr>
        <w:b/>
        <w:bCs/>
        <w:color w:val="1F3864"/>
        <w:sz w:val="18"/>
        <w:szCs w:val="18"/>
      </w:rPr>
      <w:t xml:space="preserve">ANSUT — Programme PASS</w:t>
    </w:r>
    <w:r>
      <w:rPr>
        <w:color w:val="595959"/>
        <w:sz w:val="18"/>
        <w:szCs w:val="18"/>
      </w:rPr>
      <w:t xml:space="preserve">	DTDI · 7 septembre 2026 · version pour concertation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2026-09-08T14:16:18.454Z</dcterms:created>
  <dcterms:modified xsi:type="dcterms:W3CDTF">2026-09-08T14:16:18.468Z</dcterms:modified>
</cp:coreProperties>
</file>

<file path=docProps/custom.xml><?xml version="1.0" encoding="utf-8"?>
<Properties xmlns="http://schemas.openxmlformats.org/officeDocument/2006/custom-properties" xmlns:vt="http://schemas.openxmlformats.org/officeDocument/2006/docPropsVTypes"/>
</file>