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3864"/>
          <w:sz w:val="34"/>
          <w:szCs w:val="34"/>
        </w:rPr>
        <w:t xml:space="preserve">Identité et vulnérabilité : les cas complexes</w:t>
      </w:r>
    </w:p>
    <w:p>
      <w:pPr>
        <w:spacing w:after="60"/>
        <w:jc w:val="center"/>
      </w:pPr>
      <w:r>
        <w:rPr>
          <w:b/>
          <w:bCs/>
          <w:color w:val="C55A11"/>
          <w:sz w:val="24"/>
          <w:szCs w:val="24"/>
        </w:rPr>
        <w:t xml:space="preserve">Document de travail — institution par institution</w:t>
      </w:r>
    </w:p>
    <w:p>
      <w:pPr>
        <w:spacing w:after="240"/>
        <w:jc w:val="center"/>
      </w:pPr>
      <w:r>
        <w:rPr>
          <w:i/>
          <w:iCs/>
          <w:color w:val="595959"/>
          <w:sz w:val="20"/>
          <w:szCs w:val="20"/>
        </w:rPr>
        <w:t xml:space="preserve">DTDI · 7 septembre 2026</w:t>
      </w:r>
    </w:p>
    <w:p>
      <w:pPr>
        <w:spacing w:after="160" w:before="0"/>
        <w:jc w:val="both"/>
      </w:pPr>
      <w:r>
        <w:rPr>
          <w:b w:val="false"/>
          <w:bCs w:val="false"/>
          <w:i/>
          <w:iCs/>
          <w:sz w:val="22"/>
          <w:szCs w:val="22"/>
        </w:rPr>
        <w:t xml:space="preserve">Le dispositif PASS doit traiter deux réalités très différentes : les personnes dont l'identité, la ligne téléphonique et les informations administratives sont déjà correctement enregistrées ; et les personnes en situation de vulnérabilité, dont l'identité administrative, la SIM ou les justificatifs peuvent précisément être incomplets. Ce second cas est déterminant : un dispositif d'inclusion numérique ne peut pas être conçu uniquement autour des citoyens déjà parfaitement documentés.</w:t>
      </w:r>
    </w:p>
    <w:p>
      <w:pPr>
        <w:spacing w:after="160"/>
        <w:jc w:val="both"/>
      </w:pPr>
      <w:r>
        <w:rPr>
          <w:b/>
          <w:bCs/>
          <w:i w:val="false"/>
          <w:iCs w:val="false"/>
          <w:sz w:val="22"/>
          <w:szCs w:val="22"/>
        </w:rPr>
        <w:t xml:space="preserve">Objectif de cette note : </w:t>
      </w:r>
      <w:r>
        <w:rPr>
          <w:b w:val="false"/>
          <w:bCs w:val="false"/>
          <w:i w:val="false"/>
          <w:iCs w:val="false"/>
          <w:sz w:val="22"/>
          <w:szCs w:val="22"/>
        </w:rPr>
        <w:t xml:space="preserve">identifier, institution par institution, les solutions permettant de traiter ces situations sans complexifier excessivement le dispositif, ni multiplier les données personnelles collectées par PASS.</w:t>
      </w:r>
    </w:p>
    <w:p>
      <w:pPr>
        <w:pStyle w:val="Heading1"/>
        <w:spacing w:after="160" w:before="320"/>
      </w:pPr>
      <w:r>
        <w:rPr>
          <w:b/>
          <w:bCs/>
          <w:color w:val="1F3864"/>
          <w:sz w:val="28"/>
          <w:szCs w:val="28"/>
        </w:rPr>
        <w:t xml:space="preserve">1. Le cas simple — identité et ligne vérifiables</w:t>
      </w:r>
    </w:p>
    <w:p>
      <w:pPr>
        <w:spacing w:after="160" w:before="0"/>
        <w:jc w:val="both"/>
      </w:pPr>
      <w:r>
        <w:rPr>
          <w:b w:val="false"/>
          <w:bCs w:val="false"/>
          <w:i w:val="false"/>
          <w:iCs w:val="false"/>
          <w:sz w:val="22"/>
          <w:szCs w:val="22"/>
        </w:rPr>
        <w:t xml:space="preserve">Le parcours cible reste celui déjà retenu. Le demandeur fournit son identité, son numéro de téléphone et les informations minimales nécessaires à l’instruction. PASS interroge ensuite les systèmes habilités, par questions fermées.</w:t>
      </w:r>
    </w:p>
    <w:tbl>
      <w:tblPr>
        <w:tblW w:type="dxa" w:w="9360"/>
        <w:tblBorders>
          <w:top w:val="single" w:color="1F3864" w:sz="6"/>
          <w:left w:val="single" w:color="1F3864" w:sz="6"/>
          <w:bottom w:val="single" w:color="1F3864" w:sz="6"/>
          <w:right w:val="single" w:color="1F3864" w:sz="6"/>
          <w:insideH w:val="single" w:color="auto" w:sz="4"/>
          <w:insideV w:val="single" w:color="auto" w:sz="4"/>
        </w:tblBorders>
      </w:tblPr>
      <w:tblGrid>
        <w:gridCol w:w="9360"/>
      </w:tblGrid>
      <w:tr>
        <w:tc>
          <w:tcPr>
            <w:tcW w:type="dxa" w:w="9360"/>
            <w:shd w:fill="EEF2F8" w:val="clear"/>
            <w:tcMar>
              <w:top w:type="dxa" w:w="140"/>
              <w:left w:type="dxa" w:w="200"/>
              <w:bottom w:type="dxa" w:w="140"/>
              <w:right w:type="dxa" w:w="200"/>
            </w:tcMar>
          </w:tcPr>
          <w:p>
            <w:pPr>
              <w:spacing w:after="0"/>
              <w:jc w:val="both"/>
            </w:pPr>
            <w:r>
              <w:rPr>
                <w:b w:val="false"/>
                <w:bCs w:val="false"/>
                <w:i w:val="false"/>
                <w:iCs w:val="false"/>
                <w:sz w:val="22"/>
                <w:szCs w:val="22"/>
              </w:rPr>
              <w:t xml:space="preserve">Auprès de l'opérateur, la question n'est jamais « à qui appartient ce numéro ? », mais « la ligne X est-elle rattachée à l'identité Y ? » — réponse OUI / NON / INCONNU. De même pour le terminal : « cette ligne a-t-elle été associée à un smartphone actif pendant la période de référence ? ». PASS ne reçoit jamais les données KYC détenues par l'opérateur.</w:t>
            </w:r>
          </w:p>
        </w:tc>
      </w:tr>
    </w:tbl>
    <w:p>
      <w:pPr>
        <w:spacing w:after="160" w:before="0"/>
        <w:jc w:val="both"/>
      </w:pPr>
      <w:r>
        <w:rPr>
          <w:b w:val="false"/>
          <w:bCs w:val="false"/>
          <w:i/>
          <w:iCs/>
          <w:sz w:val="22"/>
          <w:szCs w:val="22"/>
        </w:rPr>
        <w:t xml:space="preserve">Ce modèle demeure celui à privilégier dès que la personne peut être identifiée normalement.</w:t>
      </w:r>
    </w:p>
    <w:p>
      <w:pPr>
        <w:pStyle w:val="Heading1"/>
        <w:spacing w:after="160" w:before="320"/>
      </w:pPr>
      <w:r>
        <w:rPr>
          <w:b/>
          <w:bCs/>
          <w:color w:val="1F3864"/>
          <w:sz w:val="28"/>
          <w:szCs w:val="28"/>
        </w:rPr>
        <w:t xml:space="preserve">2. Le cas complexe — que faire d’une personne sans pièce ou mal documentée ?</w:t>
      </w:r>
    </w:p>
    <w:p>
      <w:pPr>
        <w:spacing w:after="160" w:before="0"/>
        <w:jc w:val="both"/>
      </w:pPr>
      <w:r>
        <w:rPr>
          <w:b w:val="false"/>
          <w:bCs w:val="false"/>
          <w:i w:val="false"/>
          <w:iCs w:val="false"/>
          <w:sz w:val="22"/>
          <w:szCs w:val="22"/>
        </w:rPr>
        <w:t xml:space="preserve">C’est le véritable cas d’usage à résoudre. Exemples : absence de CNI, pièce expirée ou perdue, absence dans certaines bases administratives, SIM enregistrée avec des informations incomplètes, ligne utilisée par la personne mais enregistrée au nom d’un proche, personne connue d’un dispositif social mais insuffisamment documentée sur le plan de l’identité, personne vulnérable n’apparaissant dans aucun registre actuellement interrogé.</w:t>
      </w:r>
    </w:p>
    <w:tbl>
      <w:tblPr>
        <w:tblW w:type="dxa" w:w="9360"/>
        <w:tblBorders>
          <w:top w:val="single" w:color="1F3864" w:sz="6"/>
          <w:left w:val="single" w:color="1F3864" w:sz="6"/>
          <w:bottom w:val="single" w:color="1F3864" w:sz="6"/>
          <w:right w:val="single" w:color="1F3864" w:sz="6"/>
          <w:insideH w:val="single" w:color="auto" w:sz="4"/>
          <w:insideV w:val="single" w:color="auto" w:sz="4"/>
        </w:tblBorders>
      </w:tblPr>
      <w:tblGrid>
        <w:gridCol w:w="9360"/>
      </w:tblGrid>
      <w:tr>
        <w:tc>
          <w:tcPr>
            <w:tcW w:type="dxa" w:w="9360"/>
            <w:shd w:fill="EEF2F8" w:val="clear"/>
            <w:tcMar>
              <w:top w:type="dxa" w:w="140"/>
              <w:left w:type="dxa" w:w="200"/>
              <w:bottom w:type="dxa" w:w="140"/>
              <w:right w:type="dxa" w:w="200"/>
            </w:tcMar>
          </w:tcPr>
          <w:p>
            <w:pPr>
              <w:spacing w:after="100"/>
              <w:jc w:val="both"/>
            </w:pPr>
            <w:r>
              <w:rPr>
                <w:b/>
                <w:bCs/>
                <w:i w:val="false"/>
                <w:iCs w:val="false"/>
                <w:sz w:val="22"/>
                <w:szCs w:val="22"/>
              </w:rPr>
              <w:t xml:space="preserve">Principe proposé</w:t>
            </w:r>
          </w:p>
          <w:p>
            <w:pPr>
              <w:spacing w:after="0"/>
              <w:jc w:val="both"/>
            </w:pPr>
            <w:r>
              <w:rPr>
                <w:b w:val="false"/>
                <w:bCs w:val="false"/>
                <w:i w:val="false"/>
                <w:iCs w:val="false"/>
                <w:sz w:val="22"/>
                <w:szCs w:val="22"/>
              </w:rPr>
              <w:t xml:space="preserve">L'absence de pièce immédiatement exploitable ne doit pas entraîner automatiquement l'exclusion de PASS. Elle déclenche un parcours d'orientation et de régularisation, avec une décision finale une fois l'identité minimale établie selon une procédure reconnue. PASS ne doit pas devenir lui-même un système de création d'identité : il s'appuie sur les institutions compétentes.</w:t>
            </w:r>
          </w:p>
        </w:tc>
      </w:tr>
    </w:tbl>
    <w:p>
      <w:pPr>
        <w:pStyle w:val="Heading1"/>
        <w:spacing w:after="160" w:before="320"/>
      </w:pPr>
      <w:r>
        <w:rPr>
          <w:b/>
          <w:bCs/>
          <w:color w:val="1F3864"/>
          <w:sz w:val="28"/>
          <w:szCs w:val="28"/>
        </w:rPr>
        <w:t xml:space="preserve">3. Questions à traiter avec les institutions</w:t>
      </w:r>
    </w:p>
    <w:p>
      <w:pPr>
        <w:pStyle w:val="Heading2"/>
        <w:spacing w:after="120" w:before="240"/>
      </w:pPr>
      <w:r>
        <w:rPr>
          <w:b/>
          <w:bCs/>
          <w:color w:val="1F3864"/>
          <w:sz w:val="24"/>
          <w:szCs w:val="24"/>
        </w:rPr>
        <w:t xml:space="preserve">A. Registre Social Unique (RSU)</w:t>
      </w:r>
    </w:p>
    <w:p>
      <w:pPr>
        <w:spacing w:after="160" w:before="0"/>
        <w:jc w:val="both"/>
      </w:pPr>
      <w:r>
        <w:rPr>
          <w:b w:val="false"/>
          <w:bCs w:val="false"/>
          <w:i w:val="false"/>
          <w:iCs w:val="false"/>
          <w:sz w:val="22"/>
          <w:szCs w:val="22"/>
        </w:rPr>
        <w:t xml:space="preserve">Le RSU dispose potentiellement d’informations sur les ménages vulnérables, d’une connaissance pratique des populations difficiles à documenter, et de procédures terrain pour identifier des ménages sans toutes les pièces attendues.</w:t>
      </w:r>
    </w:p>
    <w:p>
      <w:pPr>
        <w:pStyle w:val="ListParagraph"/>
        <w:numPr>
          <w:ilvl w:val="0"/>
          <w:numId w:val="2"/>
        </w:numPr>
        <w:spacing w:after="100"/>
        <w:jc w:val="both"/>
      </w:pPr>
      <w:r>
        <w:rPr>
          <w:b w:val="false"/>
          <w:bCs w:val="false"/>
          <w:sz w:val="22"/>
          <w:szCs w:val="22"/>
        </w:rPr>
        <w:t xml:space="preserve">Comment le RSU traite-t-il aujourd’hui une personne vulnérable sans CNI valide ?</w:t>
      </w:r>
    </w:p>
    <w:p>
      <w:pPr>
        <w:pStyle w:val="ListParagraph"/>
        <w:numPr>
          <w:ilvl w:val="0"/>
          <w:numId w:val="2"/>
        </w:numPr>
        <w:spacing w:after="100"/>
        <w:jc w:val="both"/>
      </w:pPr>
      <w:r>
        <w:rPr>
          <w:b w:val="false"/>
          <w:bCs w:val="false"/>
          <w:sz w:val="22"/>
          <w:szCs w:val="22"/>
        </w:rPr>
        <w:t xml:space="preserve">Quels justificatifs ou mécanismes alternatifs sont acceptés ?</w:t>
      </w:r>
    </w:p>
    <w:p>
      <w:pPr>
        <w:pStyle w:val="ListParagraph"/>
        <w:numPr>
          <w:ilvl w:val="0"/>
          <w:numId w:val="2"/>
        </w:numPr>
        <w:spacing w:after="100"/>
        <w:jc w:val="both"/>
      </w:pPr>
      <w:r>
        <w:rPr>
          <w:b w:val="false"/>
          <w:bCs w:val="false"/>
          <w:sz w:val="22"/>
          <w:szCs w:val="22"/>
        </w:rPr>
        <w:t xml:space="preserve">Le RSU dispose-t-il d’un identifiant permettant de retrouver de manière fiable une personne ou un ménage ?</w:t>
      </w:r>
    </w:p>
    <w:p>
      <w:pPr>
        <w:pStyle w:val="ListParagraph"/>
        <w:numPr>
          <w:ilvl w:val="0"/>
          <w:numId w:val="2"/>
        </w:numPr>
        <w:spacing w:after="100"/>
        <w:jc w:val="both"/>
      </w:pPr>
      <w:r>
        <w:rPr>
          <w:b w:val="false"/>
          <w:bCs w:val="false"/>
          <w:sz w:val="22"/>
          <w:szCs w:val="22"/>
        </w:rPr>
        <w:t xml:space="preserve">Le RSU peut-il répondre par un simple verdict — personne/ménage connu du RSU : oui/non, et le cas échéant, niveau de vulnérabilité éligible : oui/non — sans transférer les données sociales détaillées ?</w:t>
      </w:r>
    </w:p>
    <w:p>
      <w:pPr>
        <w:spacing w:after="160"/>
        <w:jc w:val="both"/>
      </w:pPr>
      <w:r>
        <w:rPr>
          <w:b/>
          <w:bCs/>
          <w:i w:val="false"/>
          <w:iCs w:val="false"/>
          <w:sz w:val="22"/>
          <w:szCs w:val="22"/>
        </w:rPr>
        <w:t xml:space="preserve">Piste proposée : </w:t>
      </w:r>
      <w:r>
        <w:rPr>
          <w:b w:val="false"/>
          <w:bCs w:val="false"/>
          <w:i w:val="false"/>
          <w:iCs w:val="false"/>
          <w:sz w:val="22"/>
          <w:szCs w:val="22"/>
        </w:rPr>
        <w:t xml:space="preserve">une interface de vérification limitée à un verdict, plutôt qu’un transfert de la base sociale vers PASS.</w:t>
      </w:r>
    </w:p>
    <before>80</before>
    <w:p>
      <w:pPr>
        <w:pStyle w:val="Heading2"/>
        <w:spacing w:after="120" w:before="240"/>
      </w:pPr>
      <w:r>
        <w:rPr>
          <w:b/>
          <w:bCs/>
          <w:color w:val="1F3864"/>
          <w:sz w:val="24"/>
          <w:szCs w:val="24"/>
        </w:rPr>
        <w:t xml:space="preserve">B. CNAM</w:t>
      </w:r>
    </w:p>
    <w:p>
      <w:pPr>
        <w:spacing w:after="160" w:before="0"/>
        <w:jc w:val="both"/>
      </w:pPr>
      <w:r>
        <w:rPr>
          <w:b w:val="false"/>
          <w:bCs w:val="false"/>
          <w:i w:val="false"/>
          <w:iCs w:val="false"/>
          <w:sz w:val="22"/>
          <w:szCs w:val="22"/>
        </w:rPr>
        <w:t xml:space="preserve">La CNAM dispose d’une expérience opérationnelle de l’enrôlement de populations très larges, y compris en documentation imparfaite.</w:t>
      </w:r>
    </w:p>
    <w:p>
      <w:pPr>
        <w:pStyle w:val="ListParagraph"/>
        <w:numPr>
          <w:ilvl w:val="0"/>
          <w:numId w:val="3"/>
        </w:numPr>
        <w:spacing w:after="100"/>
        <w:jc w:val="both"/>
      </w:pPr>
      <w:r>
        <w:rPr>
          <w:b w:val="false"/>
          <w:bCs w:val="false"/>
          <w:sz w:val="22"/>
          <w:szCs w:val="22"/>
        </w:rPr>
        <w:t xml:space="preserve">Comment la CNAM traite-t-elle une personne sans pièce d’identité exploitable ?</w:t>
      </w:r>
    </w:p>
    <w:p>
      <w:pPr>
        <w:pStyle w:val="ListParagraph"/>
        <w:numPr>
          <w:ilvl w:val="0"/>
          <w:numId w:val="3"/>
        </w:numPr>
        <w:spacing w:after="100"/>
        <w:jc w:val="both"/>
      </w:pPr>
      <w:r>
        <w:rPr>
          <w:b w:val="false"/>
          <w:bCs w:val="false"/>
          <w:sz w:val="22"/>
          <w:szCs w:val="22"/>
        </w:rPr>
        <w:t xml:space="preserve">Quels mécanismes évitent les doublons ?</w:t>
      </w:r>
    </w:p>
    <w:p>
      <w:pPr>
        <w:pStyle w:val="ListParagraph"/>
        <w:numPr>
          <w:ilvl w:val="0"/>
          <w:numId w:val="3"/>
        </w:numPr>
        <w:spacing w:after="100"/>
        <w:jc w:val="both"/>
      </w:pPr>
      <w:r>
        <w:rPr>
          <w:b w:val="false"/>
          <w:bCs w:val="false"/>
          <w:sz w:val="22"/>
          <w:szCs w:val="22"/>
        </w:rPr>
        <w:t xml:space="preserve">Quel identifiant est considéré comme suffisamment fiable ?</w:t>
      </w:r>
    </w:p>
    <w:p>
      <w:pPr>
        <w:pStyle w:val="ListParagraph"/>
        <w:numPr>
          <w:ilvl w:val="0"/>
          <w:numId w:val="3"/>
        </w:numPr>
        <w:spacing w:after="100"/>
        <w:jc w:val="both"/>
      </w:pPr>
      <w:r>
        <w:rPr>
          <w:b w:val="false"/>
          <w:bCs w:val="false"/>
          <w:sz w:val="22"/>
          <w:szCs w:val="22"/>
        </w:rPr>
        <w:t xml:space="preserve">Existe-t-il une procédure d’enrôlement ou de régularisation utilisable comme parcours d’orientation PASS ?</w:t>
      </w:r>
    </w:p>
    <w:p>
      <w:pPr>
        <w:pStyle w:val="ListParagraph"/>
        <w:numPr>
          <w:ilvl w:val="0"/>
          <w:numId w:val="3"/>
        </w:numPr>
        <w:spacing w:after="100"/>
        <w:jc w:val="both"/>
      </w:pPr>
      <w:r>
        <w:rPr>
          <w:b w:val="false"/>
          <w:bCs w:val="false"/>
          <w:sz w:val="22"/>
          <w:szCs w:val="22"/>
        </w:rPr>
        <w:t xml:space="preserve">La CNAM peut-elle fournir un verdict de concordance sans transmettre ses données détaillées ?</w:t>
      </w:r>
    </w:p>
    <w:p>
      <w:pPr>
        <w:spacing w:after="160"/>
        <w:jc w:val="both"/>
      </w:pPr>
      <w:r>
        <w:rPr>
          <w:b/>
          <w:bCs/>
          <w:i w:val="false"/>
          <w:iCs w:val="false"/>
          <w:sz w:val="22"/>
          <w:szCs w:val="22"/>
        </w:rPr>
        <w:t xml:space="preserve">Piste proposée : </w:t>
      </w:r>
      <w:r>
        <w:rPr>
          <w:b w:val="false"/>
          <w:bCs w:val="false"/>
          <w:i w:val="false"/>
          <w:iCs w:val="false"/>
          <w:sz w:val="22"/>
          <w:szCs w:val="22"/>
        </w:rPr>
        <w:t xml:space="preserve">la CNAM comme source de vérification, source d’expérience méthodologique, et éventuellement point d’orientation pour certaines situations administratives.</w:t>
      </w:r>
    </w:p>
    <before>80</before>
    <w:p>
      <w:pPr>
        <w:pStyle w:val="Heading2"/>
        <w:spacing w:after="120" w:before="240"/>
      </w:pPr>
      <w:r>
        <w:rPr>
          <w:b/>
          <w:bCs/>
          <w:color w:val="1F3864"/>
          <w:sz w:val="24"/>
          <w:szCs w:val="24"/>
        </w:rPr>
        <w:t xml:space="preserve">C. ONECI</w:t>
      </w:r>
    </w:p>
    <w:p>
      <w:pPr>
        <w:spacing w:after="160" w:before="0"/>
        <w:jc w:val="both"/>
      </w:pPr>
      <w:r>
        <w:rPr>
          <w:b w:val="false"/>
          <w:bCs w:val="false"/>
          <w:i w:val="false"/>
          <w:iCs w:val="false"/>
          <w:sz w:val="22"/>
          <w:szCs w:val="22"/>
        </w:rPr>
        <w:t xml:space="preserve">L’ONECI est l’acteur central de l’identification des personnes. Son absence de la précédente réunion justifie une séance spécifique.</w:t>
      </w:r>
    </w:p>
    <w:p>
      <w:pPr>
        <w:pStyle w:val="ListParagraph"/>
        <w:numPr>
          <w:ilvl w:val="0"/>
          <w:numId w:val="4"/>
        </w:numPr>
        <w:spacing w:after="100"/>
        <w:jc w:val="both"/>
      </w:pPr>
      <w:r>
        <w:rPr>
          <w:b w:val="false"/>
          <w:bCs w:val="false"/>
          <w:sz w:val="22"/>
          <w:szCs w:val="22"/>
        </w:rPr>
        <w:t xml:space="preserve">Quelle procédure existe pour une personne sans aucune pièce ?</w:t>
      </w:r>
    </w:p>
    <w:p>
      <w:pPr>
        <w:pStyle w:val="ListParagraph"/>
        <w:numPr>
          <w:ilvl w:val="0"/>
          <w:numId w:val="4"/>
        </w:numPr>
        <w:spacing w:after="100"/>
        <w:jc w:val="both"/>
      </w:pPr>
      <w:r>
        <w:rPr>
          <w:b w:val="false"/>
          <w:bCs w:val="false"/>
          <w:sz w:val="22"/>
          <w:szCs w:val="22"/>
        </w:rPr>
        <w:t xml:space="preserve">Existe-t-il un mécanisme de vérification à partir des informations d’état civil disponibles ?</w:t>
      </w:r>
    </w:p>
    <w:p>
      <w:pPr>
        <w:pStyle w:val="ListParagraph"/>
        <w:numPr>
          <w:ilvl w:val="0"/>
          <w:numId w:val="4"/>
        </w:numPr>
        <w:spacing w:after="100"/>
        <w:jc w:val="both"/>
      </w:pPr>
      <w:r>
        <w:rPr>
          <w:b w:val="false"/>
          <w:bCs w:val="false"/>
          <w:sz w:val="22"/>
          <w:szCs w:val="22"/>
        </w:rPr>
        <w:t xml:space="preserve">Peut-on obtenir un verdict : identité confirmée / identité non confirmée / régularisation nécessaire ?</w:t>
      </w:r>
    </w:p>
    <w:p>
      <w:pPr>
        <w:pStyle w:val="ListParagraph"/>
        <w:numPr>
          <w:ilvl w:val="0"/>
          <w:numId w:val="4"/>
        </w:numPr>
        <w:spacing w:after="100"/>
        <w:jc w:val="both"/>
      </w:pPr>
      <w:r>
        <w:rPr>
          <w:b w:val="false"/>
          <w:bCs w:val="false"/>
          <w:sz w:val="22"/>
          <w:szCs w:val="22"/>
        </w:rPr>
        <w:t xml:space="preserve">Quel parcours proposer à une personne PASS non retrouvée ?</w:t>
      </w:r>
    </w:p>
    <w:p>
      <w:pPr>
        <w:pStyle w:val="ListParagraph"/>
        <w:numPr>
          <w:ilvl w:val="0"/>
          <w:numId w:val="4"/>
        </w:numPr>
        <w:spacing w:after="100"/>
        <w:jc w:val="both"/>
      </w:pPr>
      <w:r>
        <w:rPr>
          <w:b w:val="false"/>
          <w:bCs w:val="false"/>
          <w:sz w:val="22"/>
          <w:szCs w:val="22"/>
        </w:rPr>
        <w:t xml:space="preserve">PASS peut-il générer une orientation ou un rendez-vous vers un dispositif ONECI adapté ?</w:t>
      </w:r>
    </w:p>
    <w:p>
      <w:pPr>
        <w:pStyle w:val="ListParagraph"/>
        <w:numPr>
          <w:ilvl w:val="0"/>
          <w:numId w:val="4"/>
        </w:numPr>
        <w:spacing w:after="100"/>
        <w:jc w:val="both"/>
      </w:pPr>
      <w:r>
        <w:rPr>
          <w:b w:val="false"/>
          <w:bCs w:val="false"/>
          <w:sz w:val="22"/>
          <w:szCs w:val="22"/>
        </w:rPr>
        <w:t xml:space="preserve">Existe-t-il des dispositifs d’enrôlement mobile pouvant accompagner une campagne PASS ?</w:t>
      </w:r>
    </w:p>
    <w:tbl>
      <w:tblPr>
        <w:tblW w:type="dxa" w:w="9360"/>
        <w:tblBorders>
          <w:top w:val="single" w:color="1F3864" w:sz="6"/>
          <w:left w:val="single" w:color="1F3864" w:sz="6"/>
          <w:bottom w:val="single" w:color="1F3864" w:sz="6"/>
          <w:right w:val="single" w:color="1F3864" w:sz="6"/>
          <w:insideH w:val="single" w:color="auto" w:sz="4"/>
          <w:insideV w:val="single" w:color="auto" w:sz="4"/>
        </w:tblBorders>
      </w:tblPr>
      <w:tblGrid>
        <w:gridCol w:w="9360"/>
      </w:tblGrid>
      <w:tr>
        <w:tc>
          <w:tcPr>
            <w:tcW w:type="dxa" w:w="9360"/>
            <w:shd w:fill="EEF2F8" w:val="clear"/>
            <w:tcMar>
              <w:top w:type="dxa" w:w="140"/>
              <w:left w:type="dxa" w:w="200"/>
              <w:bottom w:type="dxa" w:w="140"/>
              <w:right w:type="dxa" w:w="200"/>
            </w:tcMar>
          </w:tcPr>
          <w:p>
            <w:pPr>
              <w:spacing w:after="100"/>
              <w:jc w:val="both"/>
            </w:pPr>
            <w:r>
              <w:rPr>
                <w:b/>
                <w:bCs/>
                <w:i w:val="false"/>
                <w:iCs w:val="false"/>
                <w:sz w:val="22"/>
                <w:szCs w:val="22"/>
              </w:rPr>
              <w:t xml:space="preserve">Proposition</w:t>
            </w:r>
          </w:p>
          <w:p>
            <w:pPr>
              <w:spacing w:after="0"/>
              <w:jc w:val="both"/>
            </w:pPr>
            <w:r>
              <w:rPr>
                <w:b w:val="false"/>
                <w:bCs w:val="false"/>
                <w:i w:val="false"/>
                <w:iCs w:val="false"/>
                <w:sz w:val="22"/>
                <w:szCs w:val="22"/>
              </w:rPr>
              <w:t xml:space="preserve">Ne pas essayer de résoudre les cas d'identité au sein de PASS. Créer un statut « ÉLIGIBILITÉ EN ATTENTE — IDENTITÉ À RÉGULARISER », et permettre au demandeur de reprendre son parcours PASS après régularisation.</w:t>
            </w:r>
          </w:p>
        </w:tc>
      </w:tr>
    </w:tbl>
    <w:p>
      <w:pPr>
        <w:pStyle w:val="Heading2"/>
        <w:spacing w:after="120" w:before="240"/>
      </w:pPr>
      <w:r>
        <w:rPr>
          <w:b/>
          <w:bCs/>
          <w:color w:val="1F3864"/>
          <w:sz w:val="24"/>
          <w:szCs w:val="24"/>
        </w:rPr>
        <w:t xml:space="preserve">D. ANStat</w:t>
      </w:r>
    </w:p>
    <w:p>
      <w:pPr>
        <w:spacing w:after="160" w:before="0"/>
        <w:jc w:val="both"/>
      </w:pPr>
      <w:r>
        <w:rPr>
          <w:b w:val="false"/>
          <w:bCs w:val="false"/>
          <w:i w:val="false"/>
          <w:iCs w:val="false"/>
          <w:sz w:val="22"/>
          <w:szCs w:val="22"/>
        </w:rPr>
        <w:t xml:space="preserve">ANStat contribue à deux niveaux : la connaissance statistique (territoires et catégories où se concentrent faible équipement, pauvreté, difficultés d’accès administratif, faible connectivité), et la conception du dispositif (méthode pour éviter que le programme ne bénéficie surtout aux personnes les plus faciles à identifier administrativement).</w:t>
      </w:r>
    </w:p>
    <w:tbl>
      <w:tblPr>
        <w:tblW w:type="dxa" w:w="9360"/>
        <w:tblBorders>
          <w:top w:val="single" w:color="1F3864" w:sz="6"/>
          <w:left w:val="single" w:color="1F3864" w:sz="6"/>
          <w:bottom w:val="single" w:color="1F3864" w:sz="6"/>
          <w:right w:val="single" w:color="1F3864" w:sz="6"/>
          <w:insideH w:val="single" w:color="auto" w:sz="4"/>
          <w:insideV w:val="single" w:color="auto" w:sz="4"/>
        </w:tblBorders>
      </w:tblPr>
      <w:tblGrid>
        <w:gridCol w:w="9360"/>
      </w:tblGrid>
      <w:tr>
        <w:tc>
          <w:tcPr>
            <w:tcW w:type="dxa" w:w="9360"/>
            <w:shd w:fill="EEF2F8" w:val="clear"/>
            <w:tcMar>
              <w:top w:type="dxa" w:w="140"/>
              <w:left w:type="dxa" w:w="200"/>
              <w:bottom w:type="dxa" w:w="140"/>
              <w:right w:type="dxa" w:w="200"/>
            </w:tcMar>
          </w:tcPr>
          <w:p>
            <w:pPr>
              <w:spacing w:after="0"/>
              <w:jc w:val="both"/>
            </w:pPr>
            <w:r>
              <w:rPr>
                <w:b w:val="false"/>
                <w:bCs w:val="false"/>
                <w:i w:val="false"/>
                <w:iCs w:val="false"/>
                <w:sz w:val="22"/>
                <w:szCs w:val="22"/>
              </w:rPr>
              <w:t xml:space="preserve">Question centrale : comment s'assurer statistiquement que les mécanismes d'éligibilité retenus ne produisent pas un biais d'exclusion des populations les plus vulnérables ?</w:t>
            </w:r>
          </w:p>
        </w:tc>
      </w:tr>
    </w:tbl>
    <w:p>
      <w:pPr>
        <w:pStyle w:val="Heading1"/>
        <w:spacing w:after="160" w:before="320"/>
      </w:pPr>
      <w:r>
        <w:rPr>
          <w:b/>
          <w:bCs/>
          <w:color w:val="1F3864"/>
          <w:sz w:val="28"/>
          <w:szCs w:val="28"/>
        </w:rPr>
        <w:t xml:space="preserve">4. Faut-il réintroduire le ciblage géographique ?</w:t>
      </w:r>
    </w:p>
    <w:p>
      <w:pPr>
        <w:spacing w:after="160" w:before="0"/>
        <w:jc w:val="both"/>
      </w:pPr>
      <w:r>
        <w:rPr>
          <w:b w:val="false"/>
          <w:bCs w:val="false"/>
          <w:i w:val="false"/>
          <w:iCs w:val="false"/>
          <w:sz w:val="22"/>
          <w:szCs w:val="22"/>
        </w:rPr>
        <w:t xml:space="preserve">Le ciblage géographique mérite d’être réexaminé, mais pour une fonction précise — non pas « seuls les habitants de telle zone sont éligibles », mais pour déterminer où ouvrir prioritairement des Points PASS, où organiser les campagnes d’enrôlement, où déployer des équipes mobiles, où réserver des contingents, où accompagner simultanément identité, formation et équipement. L’éligibilité de principe reste nationale ; la géographie organise l’effort public.</w:t>
      </w:r>
    </w:p>
    <w:p>
      <w:pPr>
        <w:spacing w:after="160"/>
        <w:jc w:val="both"/>
      </w:pPr>
      <w:r>
        <w:rPr>
          <w:b/>
          <w:bCs/>
          <w:i w:val="false"/>
          <w:iCs w:val="false"/>
          <w:sz w:val="22"/>
          <w:szCs w:val="22"/>
        </w:rPr>
        <w:t xml:space="preserve">Option à garder ouverte : </w:t>
      </w:r>
      <w:r>
        <w:rPr>
          <w:b w:val="false"/>
          <w:bCs w:val="false"/>
          <w:i w:val="false"/>
          <w:iCs w:val="false"/>
          <w:sz w:val="22"/>
          <w:szCs w:val="22"/>
        </w:rPr>
        <w:t xml:space="preserve">si les données montrent qu’une distribution nationale ouverte sert mécaniquement les populations urbaines les mieux documentées, des contingents territoriaux explicitement décidés par la puissance publique pourraient être nécessaires — une règle d’allocation transparente, jamais un score caché.</w:t>
      </w:r>
    </w:p>
    <before>80</before>
    <w:p>
      <w:pPr>
        <w:pStyle w:val="Heading1"/>
        <w:spacing w:after="160" w:before="320"/>
      </w:pPr>
      <w:r>
        <w:rPr>
          <w:b/>
          <w:bCs/>
          <w:color w:val="1F3864"/>
          <w:sz w:val="28"/>
          <w:szCs w:val="28"/>
        </w:rPr>
        <w:t xml:space="preserve">5. Point à soumettre à l’ARTCI — les cas d’exception</w:t>
      </w:r>
    </w:p>
    <w:p>
      <w:pPr>
        <w:spacing w:after="160" w:before="0"/>
        <w:jc w:val="both"/>
      </w:pPr>
      <w:r>
        <w:rPr>
          <w:b w:val="false"/>
          <w:bCs w:val="false"/>
          <w:i w:val="false"/>
          <w:iCs w:val="false"/>
          <w:sz w:val="22"/>
          <w:szCs w:val="22"/>
        </w:rPr>
        <w:t xml:space="preserve">Le fonctionnement nominal de PASS repose sur des interrogations fermées. Mais certains dossiers ne permettront pas cette vérification : SIM enregistrée au nom d’un tiers, informations KYC anciennes ou incomplètes, personne sans accès à ses justificatifs, données incohérentes entre systèmes.</w:t>
      </w:r>
    </w:p>
    <w:tbl>
      <w:tblPr>
        <w:tblW w:type="dxa" w:w="9360"/>
        <w:tblBorders>
          <w:top w:val="single" w:color="1F3864" w:sz="6"/>
          <w:left w:val="single" w:color="1F3864" w:sz="6"/>
          <w:bottom w:val="single" w:color="1F3864" w:sz="6"/>
          <w:right w:val="single" w:color="1F3864" w:sz="6"/>
          <w:insideH w:val="single" w:color="auto" w:sz="4"/>
          <w:insideV w:val="single" w:color="auto" w:sz="4"/>
        </w:tblBorders>
      </w:tblPr>
      <w:tblGrid>
        <w:gridCol w:w="9360"/>
      </w:tblGrid>
      <w:tr>
        <w:tc>
          <w:tcPr>
            <w:tcW w:type="dxa" w:w="9360"/>
            <w:shd w:fill="EEF2F8" w:val="clear"/>
            <w:tcMar>
              <w:top w:type="dxa" w:w="140"/>
              <w:left w:type="dxa" w:w="200"/>
              <w:bottom w:type="dxa" w:w="140"/>
              <w:right w:type="dxa" w:w="200"/>
            </w:tcMar>
          </w:tcPr>
          <w:p>
            <w:pPr>
              <w:spacing w:after="0"/>
              <w:jc w:val="both"/>
            </w:pPr>
            <w:r>
              <w:rPr>
                <w:b/>
                <w:bCs/>
                <w:i w:val="false"/>
                <w:iCs w:val="false"/>
                <w:sz w:val="22"/>
                <w:szCs w:val="22"/>
              </w:rPr>
              <w:t xml:space="preserve">Question à l'ARTCI : dans quelles conditions juridiques et techniques un mécanisme d'exception strictement encadré pourrait-il traiter ces cas ?</w:t>
            </w:r>
          </w:p>
        </w:tc>
      </w:tr>
    </w:tbl>
    <w:p>
      <w:pPr>
        <w:spacing w:after="160" w:before="0"/>
        <w:jc w:val="both"/>
      </w:pPr>
      <w:r>
        <w:rPr>
          <w:b w:val="false"/>
          <w:bCs w:val="false"/>
          <w:i w:val="false"/>
          <w:iCs w:val="false"/>
          <w:sz w:val="22"/>
          <w:szCs w:val="22"/>
        </w:rPr>
        <w:t xml:space="preserve">À préciser : la base légale, les acteurs autorisés, les cas où cette recherche serait permise, les informations pouvant être retournées, la durée de conservation, la traçabilité des consultations, les droits du demandeur, les mécanismes de contrôle.</w:t>
      </w:r>
    </w:p>
    <w:p>
      <w:pPr>
        <w:pStyle w:val="Heading1"/>
        <w:spacing w:after="160" w:before="320"/>
      </w:pPr>
      <w:r>
        <w:rPr>
          <w:b/>
          <w:bCs/>
          <w:color w:val="1F3864"/>
          <w:sz w:val="28"/>
          <w:szCs w:val="28"/>
        </w:rPr>
        <w:t xml:space="preserve">6. Numéro de téléphone → identité : point de doctrine</w:t>
      </w:r>
    </w:p>
    <w:p>
      <w:pPr>
        <w:spacing w:after="160" w:before="0"/>
        <w:jc w:val="both"/>
      </w:pPr>
      <w:r>
        <w:rPr>
          <w:b w:val="false"/>
          <w:bCs w:val="false"/>
          <w:i w:val="false"/>
          <w:iCs w:val="false"/>
          <w:sz w:val="22"/>
          <w:szCs w:val="22"/>
        </w:rPr>
        <w:t xml:space="preserve">Une proposition a été évoquée : permettre à PASS de transmettre un numéro afin d’obtenir l’identité de son titulaire. Cette proposition doit être distinguée du modèle actuellement envisagé.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1F3864" w:val="clear"/>
            <w:tcMar>
              <w:top w:type="dxa" w:w="80"/>
              <w:left w:type="dxa" w:w="120"/>
              <w:bottom w:type="dxa" w:w="80"/>
              <w:right w:type="dxa" w:w="120"/>
            </w:tcMar>
          </w:tcPr>
          <w:p>
            <w:pPr>
              <w:spacing w:after="0"/>
            </w:pPr>
            <w:r>
              <w:rPr>
                <w:b/>
                <w:bCs/>
                <w:color w:val="FFFFFF"/>
                <w:sz w:val="20"/>
                <w:szCs w:val="20"/>
              </w:rPr>
              <w:t xml:space="preserve"/>
            </w:r>
          </w:p>
        </w:tc>
        <w:tc>
          <w:tcPr>
            <w:tcW w:type="dxa" w:w="3480"/>
            <w:shd w:fill="1F3864" w:val="clear"/>
            <w:tcMar>
              <w:top w:type="dxa" w:w="80"/>
              <w:left w:type="dxa" w:w="120"/>
              <w:bottom w:type="dxa" w:w="80"/>
              <w:right w:type="dxa" w:w="120"/>
            </w:tcMar>
          </w:tcPr>
          <w:p>
            <w:pPr>
              <w:spacing w:after="0"/>
            </w:pPr>
            <w:r>
              <w:rPr>
                <w:b/>
                <w:bCs/>
                <w:color w:val="FFFFFF"/>
                <w:sz w:val="20"/>
                <w:szCs w:val="20"/>
              </w:rPr>
              <w:t xml:space="preserve">Modèle actuel — vérification</w:t>
            </w:r>
          </w:p>
        </w:tc>
        <w:tc>
          <w:tcPr>
            <w:tcW w:type="dxa" w:w="3480"/>
            <w:shd w:fill="1F3864" w:val="clear"/>
            <w:tcMar>
              <w:top w:type="dxa" w:w="80"/>
              <w:left w:type="dxa" w:w="120"/>
              <w:bottom w:type="dxa" w:w="80"/>
              <w:right w:type="dxa" w:w="120"/>
            </w:tcMar>
          </w:tcPr>
          <w:p>
            <w:pPr>
              <w:spacing w:after="0"/>
            </w:pPr>
            <w:r>
              <w:rPr>
                <w:b/>
                <w:bCs/>
                <w:color w:val="FFFFFF"/>
                <w:sz w:val="20"/>
                <w:szCs w:val="20"/>
              </w:rPr>
              <w:t xml:space="preserve">Modèle proposé — identification inversée</w:t>
            </w:r>
          </w:p>
        </w:tc>
      </w:tr>
      <w:tr>
        <w:tc>
          <w:tcPr>
            <w:tcW w:type="dxa" w:w="2400"/>
            <w:tcMar>
              <w:top w:type="dxa" w:w="80"/>
              <w:left w:type="dxa" w:w="120"/>
              <w:bottom w:type="dxa" w:w="80"/>
              <w:right w:type="dxa" w:w="120"/>
            </w:tcMar>
          </w:tcPr>
          <w:p>
            <w:pPr>
              <w:spacing w:after="0"/>
            </w:pPr>
            <w:r>
              <w:rPr>
                <w:sz w:val="20"/>
                <w:szCs w:val="20"/>
              </w:rPr>
              <w:t xml:space="preserve">Question posée</w:t>
            </w:r>
          </w:p>
        </w:tc>
        <w:tc>
          <w:tcPr>
            <w:tcW w:type="dxa" w:w="3480"/>
            <w:tcMar>
              <w:top w:type="dxa" w:w="80"/>
              <w:left w:type="dxa" w:w="120"/>
              <w:bottom w:type="dxa" w:w="80"/>
              <w:right w:type="dxa" w:w="120"/>
            </w:tcMar>
          </w:tcPr>
          <w:p>
            <w:pPr>
              <w:spacing w:after="0"/>
            </w:pPr>
            <w:r>
              <w:rPr>
                <w:sz w:val="20"/>
                <w:szCs w:val="20"/>
              </w:rPr>
              <w:t xml:space="preserve">« Est-ce la même personne ? » (identité et numéro déjà connus de PASS)</w:t>
            </w:r>
          </w:p>
        </w:tc>
        <w:tc>
          <w:tcPr>
            <w:tcW w:type="dxa" w:w="3480"/>
            <w:tcMar>
              <w:top w:type="dxa" w:w="80"/>
              <w:left w:type="dxa" w:w="120"/>
              <w:bottom w:type="dxa" w:w="80"/>
              <w:right w:type="dxa" w:w="120"/>
            </w:tcMar>
          </w:tcPr>
          <w:p>
            <w:pPr>
              <w:spacing w:after="0"/>
            </w:pPr>
            <w:r>
              <w:rPr>
                <w:sz w:val="20"/>
                <w:szCs w:val="20"/>
              </w:rPr>
              <w:t xml:space="preserve">« Qui est cette personne ? » (PASS ne fournit qu’un numéro)</w:t>
            </w:r>
          </w:p>
        </w:tc>
      </w:tr>
      <w:tr>
        <w:tc>
          <w:tcPr>
            <w:tcW w:type="dxa" w:w="2400"/>
            <w:shd w:fill="F4F6FA" w:val="clear"/>
            <w:tcMar>
              <w:top w:type="dxa" w:w="80"/>
              <w:left w:type="dxa" w:w="120"/>
              <w:bottom w:type="dxa" w:w="80"/>
              <w:right w:type="dxa" w:w="120"/>
            </w:tcMar>
          </w:tcPr>
          <w:p>
            <w:pPr>
              <w:spacing w:after="0"/>
            </w:pPr>
            <w:r>
              <w:rPr>
                <w:sz w:val="20"/>
                <w:szCs w:val="20"/>
              </w:rPr>
              <w:t xml:space="preserve">Réponse</w:t>
            </w:r>
          </w:p>
        </w:tc>
        <w:tc>
          <w:tcPr>
            <w:tcW w:type="dxa" w:w="3480"/>
            <w:shd w:fill="F4F6FA" w:val="clear"/>
            <w:tcMar>
              <w:top w:type="dxa" w:w="80"/>
              <w:left w:type="dxa" w:w="120"/>
              <w:bottom w:type="dxa" w:w="80"/>
              <w:right w:type="dxa" w:w="120"/>
            </w:tcMar>
          </w:tcPr>
          <w:p>
            <w:pPr>
              <w:spacing w:after="0"/>
            </w:pPr>
            <w:r>
              <w:rPr>
                <w:sz w:val="20"/>
                <w:szCs w:val="20"/>
              </w:rPr>
              <w:t xml:space="preserve">OUI / NON / INCONNU</w:t>
            </w:r>
          </w:p>
        </w:tc>
        <w:tc>
          <w:tcPr>
            <w:tcW w:type="dxa" w:w="3480"/>
            <w:shd w:fill="F4F6FA" w:val="clear"/>
            <w:tcMar>
              <w:top w:type="dxa" w:w="80"/>
              <w:left w:type="dxa" w:w="120"/>
              <w:bottom w:type="dxa" w:w="80"/>
              <w:right w:type="dxa" w:w="120"/>
            </w:tcMar>
          </w:tcPr>
          <w:p>
            <w:pPr>
              <w:spacing w:after="0"/>
            </w:pPr>
            <w:r>
              <w:rPr>
                <w:sz w:val="20"/>
                <w:szCs w:val="20"/>
              </w:rPr>
              <w:t xml:space="preserve">Une identité que PASS ne détenait pas</w:t>
            </w:r>
          </w:p>
        </w:tc>
      </w:tr>
      <w:tr>
        <w:tc>
          <w:tcPr>
            <w:tcW w:type="dxa" w:w="2400"/>
            <w:tcMar>
              <w:top w:type="dxa" w:w="80"/>
              <w:left w:type="dxa" w:w="120"/>
              <w:bottom w:type="dxa" w:w="80"/>
              <w:right w:type="dxa" w:w="120"/>
            </w:tcMar>
          </w:tcPr>
          <w:p>
            <w:pPr>
              <w:spacing w:after="0"/>
            </w:pPr>
            <w:r>
              <w:rPr>
                <w:sz w:val="20"/>
                <w:szCs w:val="20"/>
              </w:rPr>
              <w:t xml:space="preserve">Nature du traitement</w:t>
            </w:r>
          </w:p>
        </w:tc>
        <w:tc>
          <w:tcPr>
            <w:tcW w:type="dxa" w:w="3480"/>
            <w:tcMar>
              <w:top w:type="dxa" w:w="80"/>
              <w:left w:type="dxa" w:w="120"/>
              <w:bottom w:type="dxa" w:w="80"/>
              <w:right w:type="dxa" w:w="120"/>
            </w:tcMar>
          </w:tcPr>
          <w:p>
            <w:pPr>
              <w:spacing w:after="0"/>
            </w:pPr>
            <w:r>
              <w:rPr>
                <w:sz w:val="20"/>
                <w:szCs w:val="20"/>
              </w:rPr>
              <w:t xml:space="preserve">Confirmation</w:t>
            </w:r>
          </w:p>
        </w:tc>
        <w:tc>
          <w:tcPr>
            <w:tcW w:type="dxa" w:w="3480"/>
            <w:tcMar>
              <w:top w:type="dxa" w:w="80"/>
              <w:left w:type="dxa" w:w="120"/>
              <w:bottom w:type="dxa" w:w="80"/>
              <w:right w:type="dxa" w:w="120"/>
            </w:tcMar>
          </w:tcPr>
          <w:p>
            <w:pPr>
              <w:spacing w:after="0"/>
            </w:pPr>
            <w:r>
              <w:rPr>
                <w:sz w:val="20"/>
                <w:szCs w:val="20"/>
              </w:rPr>
              <w:t xml:space="preserve">Identification — de nature différente, pas une simple évolution technique de l’API</w:t>
            </w:r>
          </w:p>
        </w:tc>
      </w:tr>
    </w:tbl>
    <w:tbl>
      <w:tblPr>
        <w:tblW w:type="dxa" w:w="9360"/>
        <w:tblBorders>
          <w:top w:val="single" w:color="1F3864" w:sz="6"/>
          <w:left w:val="single" w:color="1F3864" w:sz="6"/>
          <w:bottom w:val="single" w:color="1F3864" w:sz="6"/>
          <w:right w:val="single" w:color="1F3864" w:sz="6"/>
          <w:insideH w:val="single" w:color="auto" w:sz="4"/>
          <w:insideV w:val="single" w:color="auto" w:sz="4"/>
        </w:tblBorders>
      </w:tblPr>
      <w:tblGrid>
        <w:gridCol w:w="9360"/>
      </w:tblGrid>
      <w:tr>
        <w:tc>
          <w:tcPr>
            <w:tcW w:type="dxa" w:w="9360"/>
            <w:shd w:fill="EEF2F8" w:val="clear"/>
            <w:tcMar>
              <w:top w:type="dxa" w:w="140"/>
              <w:left w:type="dxa" w:w="200"/>
              <w:bottom w:type="dxa" w:w="140"/>
              <w:right w:type="dxa" w:w="200"/>
            </w:tcMar>
          </w:tcPr>
          <w:p>
            <w:pPr>
              <w:spacing w:after="100"/>
              <w:jc w:val="both"/>
            </w:pPr>
            <w:r>
              <w:rPr>
                <w:b/>
                <w:bCs/>
                <w:i w:val="false"/>
                <w:iCs w:val="false"/>
                <w:sz w:val="22"/>
                <w:szCs w:val="22"/>
              </w:rPr>
              <w:t xml:space="preserve">Position recommandée</w:t>
            </w:r>
          </w:p>
          <w:p>
            <w:pPr>
              <w:spacing w:after="0"/>
              <w:jc w:val="both"/>
            </w:pPr>
            <w:r>
              <w:rPr>
                <w:b w:val="false"/>
                <w:bCs w:val="false"/>
                <w:i w:val="false"/>
                <w:iCs w:val="false"/>
                <w:sz w:val="22"/>
                <w:szCs w:val="22"/>
              </w:rPr>
              <w:t xml:space="preserve">Ne pas intégrer ce mécanisme au dispositif standard à ce stade. La question doit être officiellement soumise à l'ARTCI, qui devra déterminer si un tel mécanisme dispose d'une base juridique suffisante, nécessite un texte ou une décision spécifique, peut être limité aux situations d'exception, ou peut être remplacé par une procédure moins intrusive.</w:t>
            </w:r>
          </w:p>
        </w:tc>
      </w:tr>
    </w:tbl>
    <w:p>
      <w:pPr>
        <w:spacing w:after="160"/>
        <w:jc w:val="both"/>
      </w:pPr>
      <w:r>
        <w:rPr>
          <w:b/>
          <w:bCs/>
          <w:i w:val="false"/>
          <w:iCs w:val="false"/>
          <w:sz w:val="22"/>
          <w:szCs w:val="22"/>
        </w:rPr>
        <w:t xml:space="preserve">Principe directeur : </w:t>
      </w:r>
      <w:r>
        <w:rPr>
          <w:b w:val="false"/>
          <w:bCs w:val="false"/>
          <w:i w:val="false"/>
          <w:iCs w:val="false"/>
          <w:sz w:val="22"/>
          <w:szCs w:val="22"/>
        </w:rPr>
        <w:t xml:space="preserve">lorsque plusieurs solutions atteignent le même objectif, PASS privilégie celle qui nécessite le moins de données personnelles possible.</w:t>
      </w:r>
    </w:p>
    <before>80</before>
    <w:p>
      <w:pPr>
        <w:pStyle w:val="Heading1"/>
        <w:spacing w:after="160" w:before="320"/>
      </w:pPr>
      <w:r>
        <w:rPr>
          <w:b/>
          <w:bCs/>
          <w:color w:val="1F3864"/>
          <w:sz w:val="28"/>
          <w:szCs w:val="28"/>
        </w:rPr>
        <w:t xml:space="preserve">7. Parcours proposé pour les cas difficiles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900"/>
        <w:gridCol w:w="6260"/>
      </w:tblGrid>
      <w:tr>
        <w:trPr>
          <w:tblHeader/>
        </w:trPr>
        <w:tc>
          <w:tcPr>
            <w:tcW w:type="dxa" w:w="2900"/>
            <w:shd w:fill="1F3864" w:val="clear"/>
            <w:tcMar>
              <w:top w:type="dxa" w:w="80"/>
              <w:left w:type="dxa" w:w="120"/>
              <w:bottom w:type="dxa" w:w="80"/>
              <w:right w:type="dxa" w:w="120"/>
            </w:tcMar>
          </w:tcPr>
          <w:p>
            <w:pPr>
              <w:spacing w:after="0"/>
            </w:pPr>
            <w:r>
              <w:rPr>
                <w:b/>
                <w:bCs/>
                <w:color w:val="FFFFFF"/>
                <w:sz w:val="20"/>
                <w:szCs w:val="20"/>
              </w:rPr>
              <w:t xml:space="preserve">Résultat</w:t>
            </w:r>
          </w:p>
        </w:tc>
        <w:tc>
          <w:tcPr>
            <w:tcW w:type="dxa" w:w="6260"/>
            <w:shd w:fill="1F3864" w:val="clear"/>
            <w:tcMar>
              <w:top w:type="dxa" w:w="80"/>
              <w:left w:type="dxa" w:w="120"/>
              <w:bottom w:type="dxa" w:w="80"/>
              <w:right w:type="dxa" w:w="120"/>
            </w:tcMar>
          </w:tcPr>
          <w:p>
            <w:pPr>
              <w:spacing w:after="0"/>
            </w:pPr>
            <w:r>
              <w:rPr>
                <w:b/>
                <w:bCs/>
                <w:color w:val="FFFFFF"/>
                <w:sz w:val="20"/>
                <w:szCs w:val="20"/>
              </w:rPr>
              <w:t xml:space="preserve">Conséquence</w:t>
            </w:r>
          </w:p>
        </w:tc>
      </w:tr>
      <w:tr>
        <w:tc>
          <w:tcPr>
            <w:tcW w:type="dxa" w:w="2900"/>
            <w:tcMar>
              <w:top w:type="dxa" w:w="80"/>
              <w:left w:type="dxa" w:w="120"/>
              <w:bottom w:type="dxa" w:w="80"/>
              <w:right w:type="dxa" w:w="120"/>
            </w:tcMar>
          </w:tcPr>
          <w:p>
            <w:pPr>
              <w:spacing w:after="0"/>
            </w:pPr>
            <w:r>
              <w:rPr>
                <w:sz w:val="20"/>
                <w:szCs w:val="20"/>
              </w:rPr>
              <w:t xml:space="preserve">1. Identité confirmée</w:t>
            </w:r>
          </w:p>
        </w:tc>
        <w:tc>
          <w:tcPr>
            <w:tcW w:type="dxa" w:w="6260"/>
            <w:tcMar>
              <w:top w:type="dxa" w:w="80"/>
              <w:left w:type="dxa" w:w="120"/>
              <w:bottom w:type="dxa" w:w="80"/>
              <w:right w:type="dxa" w:w="120"/>
            </w:tcMar>
          </w:tcPr>
          <w:p>
            <w:pPr>
              <w:spacing w:after="0"/>
            </w:pPr>
            <w:r>
              <w:rPr>
                <w:sz w:val="20"/>
                <w:szCs w:val="20"/>
              </w:rPr>
              <w:t xml:space="preserve">Le parcours PASS continue normalement.</w:t>
            </w:r>
          </w:p>
        </w:tc>
      </w:tr>
      <w:tr>
        <w:tc>
          <w:tcPr>
            <w:tcW w:type="dxa" w:w="2900"/>
            <w:shd w:fill="F4F6FA" w:val="clear"/>
            <w:tcMar>
              <w:top w:type="dxa" w:w="80"/>
              <w:left w:type="dxa" w:w="120"/>
              <w:bottom w:type="dxa" w:w="80"/>
              <w:right w:type="dxa" w:w="120"/>
            </w:tcMar>
          </w:tcPr>
          <w:p>
            <w:pPr>
              <w:spacing w:after="0"/>
            </w:pPr>
            <w:r>
              <w:rPr>
                <w:sz w:val="20"/>
                <w:szCs w:val="20"/>
              </w:rPr>
              <w:t xml:space="preserve">2. Identité non confirmée</w:t>
            </w:r>
          </w:p>
        </w:tc>
        <w:tc>
          <w:tcPr>
            <w:tcW w:type="dxa" w:w="6260"/>
            <w:shd w:fill="F4F6FA" w:val="clear"/>
            <w:tcMar>
              <w:top w:type="dxa" w:w="80"/>
              <w:left w:type="dxa" w:w="120"/>
              <w:bottom w:type="dxa" w:w="80"/>
              <w:right w:type="dxa" w:w="120"/>
            </w:tcMar>
          </w:tcPr>
          <w:p>
            <w:pPr>
              <w:spacing w:after="0"/>
            </w:pPr>
            <w:r>
              <w:rPr>
                <w:sz w:val="20"/>
                <w:szCs w:val="20"/>
              </w:rPr>
              <w:t xml:space="preserve">La demande est suspendue ; la personne est orientée vers le dispositif compétent.</w:t>
            </w:r>
          </w:p>
        </w:tc>
      </w:tr>
      <w:tr>
        <w:tc>
          <w:tcPr>
            <w:tcW w:type="dxa" w:w="2900"/>
            <w:tcMar>
              <w:top w:type="dxa" w:w="80"/>
              <w:left w:type="dxa" w:w="120"/>
              <w:bottom w:type="dxa" w:w="80"/>
              <w:right w:type="dxa" w:w="120"/>
            </w:tcMar>
          </w:tcPr>
          <w:p>
            <w:pPr>
              <w:spacing w:after="0"/>
            </w:pPr>
            <w:r>
              <w:rPr>
                <w:sz w:val="20"/>
                <w:szCs w:val="20"/>
              </w:rPr>
              <w:t xml:space="preserve">3. Données insuffisantes</w:t>
            </w:r>
          </w:p>
        </w:tc>
        <w:tc>
          <w:tcPr>
            <w:tcW w:type="dxa" w:w="6260"/>
            <w:tcMar>
              <w:top w:type="dxa" w:w="80"/>
              <w:left w:type="dxa" w:w="120"/>
              <w:bottom w:type="dxa" w:w="80"/>
              <w:right w:type="dxa" w:w="120"/>
            </w:tcMar>
          </w:tcPr>
          <w:p>
            <w:pPr>
              <w:spacing w:after="0"/>
            </w:pPr>
            <w:r>
              <w:rPr>
                <w:sz w:val="20"/>
                <w:szCs w:val="20"/>
              </w:rPr>
              <w:t xml:space="preserve">La demande n’est pas rejetée. Statut : À RÉGULARISER.</w:t>
            </w:r>
          </w:p>
        </w:tc>
      </w:tr>
      <w:tr>
        <w:tc>
          <w:tcPr>
            <w:tcW w:type="dxa" w:w="2900"/>
            <w:shd w:fill="F4F6FA" w:val="clear"/>
            <w:tcMar>
              <w:top w:type="dxa" w:w="80"/>
              <w:left w:type="dxa" w:w="120"/>
              <w:bottom w:type="dxa" w:w="80"/>
              <w:right w:type="dxa" w:w="120"/>
            </w:tcMar>
          </w:tcPr>
          <w:p>
            <w:pPr>
              <w:spacing w:after="0"/>
            </w:pPr>
            <w:r>
              <w:rPr>
                <w:sz w:val="20"/>
                <w:szCs w:val="20"/>
              </w:rPr>
              <w:t xml:space="preserve">4. Situation exceptionnelle</w:t>
            </w:r>
          </w:p>
        </w:tc>
        <w:tc>
          <w:tcPr>
            <w:tcW w:type="dxa" w:w="6260"/>
            <w:shd w:fill="F4F6FA" w:val="clear"/>
            <w:tcMar>
              <w:top w:type="dxa" w:w="80"/>
              <w:left w:type="dxa" w:w="120"/>
              <w:bottom w:type="dxa" w:w="80"/>
              <w:right w:type="dxa" w:w="120"/>
            </w:tcMar>
          </w:tcPr>
          <w:p>
            <w:pPr>
              <w:spacing w:after="0"/>
            </w:pPr>
            <w:r>
              <w:rPr>
                <w:sz w:val="20"/>
                <w:szCs w:val="20"/>
              </w:rPr>
              <w:t xml:space="preserve">Le dossier suit une procédure spécifique définie avec l’ARTCI et les institutions concernées.</w:t>
            </w:r>
          </w:p>
        </w:tc>
      </w:tr>
    </w:tbl>
    <w:p>
      <w:pPr>
        <w:spacing w:after="160" w:before="80"/>
        <w:jc w:val="both"/>
      </w:pPr>
      <w:r>
        <w:rPr>
          <w:b w:val="false"/>
          <w:bCs w:val="false"/>
          <w:i/>
          <w:iCs/>
          <w:sz w:val="22"/>
          <w:szCs w:val="22"/>
        </w:rPr>
        <w:t xml:space="preserve">L’objectif est d’éviter deux erreurs symétriques : attribuer plusieurs téléphones à la même personne, et exclure automatiquement les citoyens les plus vulnérables parce que leurs données administratives sont imparfaites.</w:t>
      </w:r>
    </w:p>
    <w:p>
      <w:pPr>
        <w:pStyle w:val="Heading1"/>
        <w:spacing w:after="160" w:before="320"/>
      </w:pPr>
      <w:r>
        <w:rPr>
          <w:b/>
          <w:bCs/>
          <w:color w:val="1F3864"/>
          <w:sz w:val="28"/>
          <w:szCs w:val="28"/>
        </w:rPr>
        <w:t xml:space="preserve">8. Ordre de travail proposé</w:t>
      </w:r>
    </w:p>
    <w:p>
      <w:pPr>
        <w:pStyle w:val="ListParagraph"/>
        <w:numPr>
          <w:ilvl w:val="0"/>
          <w:numId w:val="5"/>
        </w:numPr>
        <w:spacing w:after="100"/>
        <w:jc w:val="both"/>
      </w:pPr>
      <w:r>
        <w:rPr>
          <w:b w:val="false"/>
          <w:bCs w:val="false"/>
          <w:sz w:val="22"/>
          <w:szCs w:val="22"/>
        </w:rPr>
        <w:t xml:space="preserve">ONECI — organiser une réunion spécifique sur les personnes sans pièce, non retrouvées ou insuffisamment documentées.</w:t>
      </w:r>
    </w:p>
    <w:p>
      <w:pPr>
        <w:pStyle w:val="ListParagraph"/>
        <w:numPr>
          <w:ilvl w:val="0"/>
          <w:numId w:val="5"/>
        </w:numPr>
        <w:spacing w:after="100"/>
        <w:jc w:val="both"/>
      </w:pPr>
      <w:r>
        <w:rPr>
          <w:b w:val="false"/>
          <w:bCs w:val="false"/>
          <w:sz w:val="22"/>
          <w:szCs w:val="22"/>
        </w:rPr>
        <w:t xml:space="preserve">RSU — comprendre les mécanismes d’identification terrain et déterminer le verdict minimal transmissible à PASS.</w:t>
      </w:r>
    </w:p>
    <w:p>
      <w:pPr>
        <w:pStyle w:val="ListParagraph"/>
        <w:numPr>
          <w:ilvl w:val="0"/>
          <w:numId w:val="5"/>
        </w:numPr>
        <w:spacing w:after="100"/>
        <w:jc w:val="both"/>
      </w:pPr>
      <w:r>
        <w:rPr>
          <w:b w:val="false"/>
          <w:bCs w:val="false"/>
          <w:sz w:val="22"/>
          <w:szCs w:val="22"/>
        </w:rPr>
        <w:t xml:space="preserve">CNAM — documenter les procédures d’enrôlement et de gestion des identités imparfaites.</w:t>
      </w:r>
    </w:p>
    <w:p>
      <w:pPr>
        <w:pStyle w:val="ListParagraph"/>
        <w:numPr>
          <w:ilvl w:val="0"/>
          <w:numId w:val="5"/>
        </w:numPr>
        <w:spacing w:after="100"/>
        <w:jc w:val="both"/>
      </w:pPr>
      <w:r>
        <w:rPr>
          <w:b w:val="false"/>
          <w:bCs w:val="false"/>
          <w:sz w:val="22"/>
          <w:szCs w:val="22"/>
        </w:rPr>
        <w:t xml:space="preserve">ANStat — mesurer le risque de biais dans les critères d’accès et identifier les zones où les difficultés administratives et numériques se concentrent.</w:t>
      </w:r>
    </w:p>
    <w:p>
      <w:pPr>
        <w:pStyle w:val="ListParagraph"/>
        <w:numPr>
          <w:ilvl w:val="0"/>
          <w:numId w:val="5"/>
        </w:numPr>
        <w:spacing w:after="100"/>
        <w:jc w:val="both"/>
      </w:pPr>
      <w:r>
        <w:rPr>
          <w:b w:val="false"/>
          <w:bCs w:val="false"/>
          <w:sz w:val="22"/>
          <w:szCs w:val="22"/>
        </w:rPr>
        <w:t xml:space="preserve">ARTCI — soumettre formellement le modèle de vérification fermée, les cas d’exception, la question numéro → identité, et les garanties juridiques et techniques à imposer.</w:t>
      </w:r>
    </w:p>
    <w:p>
      <w:pPr>
        <w:pStyle w:val="Heading1"/>
        <w:spacing w:after="160" w:before="320"/>
      </w:pPr>
      <w:r>
        <w:rPr>
          <w:b/>
          <w:bCs/>
          <w:color w:val="1F3864"/>
          <w:sz w:val="28"/>
          <w:szCs w:val="28"/>
        </w:rPr>
        <w:t xml:space="preserve">9. Question à trancher collectivement</w:t>
      </w:r>
    </w:p>
    <w:tbl>
      <w:tblPr>
        <w:tblW w:type="dxa" w:w="9360"/>
        <w:tblBorders>
          <w:top w:val="single" w:color="1F3864" w:sz="6"/>
          <w:left w:val="single" w:color="1F3864" w:sz="6"/>
          <w:bottom w:val="single" w:color="1F3864" w:sz="6"/>
          <w:right w:val="single" w:color="1F3864" w:sz="6"/>
          <w:insideH w:val="single" w:color="auto" w:sz="4"/>
          <w:insideV w:val="single" w:color="auto" w:sz="4"/>
        </w:tblBorders>
      </w:tblPr>
      <w:tblGrid>
        <w:gridCol w:w="9360"/>
      </w:tblGrid>
      <w:tr>
        <w:tc>
          <w:tcPr>
            <w:tcW w:type="dxa" w:w="9360"/>
            <w:shd w:fill="EEF2F8" w:val="clear"/>
            <w:tcMar>
              <w:top w:type="dxa" w:w="140"/>
              <w:left w:type="dxa" w:w="200"/>
              <w:bottom w:type="dxa" w:w="140"/>
              <w:right w:type="dxa" w:w="200"/>
            </w:tcMar>
          </w:tcPr>
          <w:p>
            <w:pPr>
              <w:spacing w:after="100"/>
              <w:jc w:val="both"/>
            </w:pPr>
            <w:r>
              <w:rPr>
                <w:b/>
                <w:bCs/>
                <w:i w:val="false"/>
                <w:iCs w:val="false"/>
                <w:sz w:val="22"/>
                <w:szCs w:val="22"/>
              </w:rPr>
              <w:t xml:space="preserve">Que faisons-nous d'une personne que nous voulons précisément aider, mais que les systèmes administratifs actuels ne parviennent pas immédiatement à identifier ?</w:t>
            </w:r>
          </w:p>
          <w:p>
            <w:pPr>
              <w:spacing w:after="0"/>
              <w:jc w:val="both"/>
            </w:pPr>
            <w:r>
              <w:rPr>
                <w:b w:val="false"/>
                <w:bCs w:val="false"/>
                <w:i w:val="false"/>
                <w:iCs w:val="false"/>
                <w:sz w:val="22"/>
                <w:szCs w:val="22"/>
              </w:rPr>
              <w:t xml:space="preserve">La réponse ne peut être ni « elle est automatiquement exclue », ni « PASS collecte toutes les informations disponibles sur elle ». La solution recherchée est intermédiaire : un parcours de vérification minimal, des procédures de régularisation, des réponses binaires entre systèmes, et des exceptions strictement encadrées. C'est cette architecture qu'il convient de construire avec l'ONECI, le RSU, la CNAM, ANStat, les opérateurs et l'ARTCI.</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tabs>
        <w:tab w:val="right" w:pos="9360"/>
      </w:tabs>
      <w:spacing w:before="60"/>
    </w:pPr>
    <w:r>
      <w:rPr>
        <w:color w:val="595959"/>
        <w:sz w:val="16"/>
        <w:szCs w:val="16"/>
      </w:rPr>
      <w:t xml:space="preserve">Agence Nationale du Service Universel des Télécommunications/TIC</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pBdr>
      <w:tabs>
        <w:tab w:val="right" w:pos="9360"/>
      </w:tabs>
      <w:spacing w:after="60"/>
    </w:pPr>
    <w:r>
      <w:rPr>
        <w:b/>
        <w:bCs/>
        <w:color w:val="1F3864"/>
        <w:sz w:val="18"/>
        <w:szCs w:val="18"/>
      </w:rPr>
      <w:t xml:space="preserve">ANSUT — Programme PASS</w:t>
    </w:r>
    <w:r>
      <w:rPr>
        <w:color w:val="595959"/>
        <w:sz w:val="18"/>
        <w:szCs w:val="18"/>
      </w:rPr>
      <w:t xml:space="preserve">	DTDI · 7 septembre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decimal"/>
      <w:lvlText w:val="%1."/>
      <w:lvlJc w:val="left"/>
      <w:pPr>
        <w:ind w:left="480" w:hanging="300"/>
      </w:pPr>
    </w:lvl>
  </w:abstractNum>
  <w:abstractNum w:abstractNumId="5" w15:restartNumberingAfterBreak="0">
    <w:multiLevelType w:val="hybridMultilevel"/>
    <w:lvl w:ilvl="0" w15:tentative="1">
      <w:start w:val="1"/>
      <w:numFmt w:val="decimal"/>
      <w:lvlText w:val="%1."/>
      <w:lvlJc w:val="left"/>
      <w:pPr>
        <w:ind w:left="480" w:hanging="300"/>
      </w:pPr>
    </w:lvl>
  </w:abstractNum>
  <w:abstractNum w:abstractNumId="6"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2026-09-08T14:18:36.632Z</dcterms:created>
  <dcterms:modified xsi:type="dcterms:W3CDTF">2026-09-08T14:18:36.633Z</dcterms:modified>
</cp:coreProperties>
</file>

<file path=docProps/custom.xml><?xml version="1.0" encoding="utf-8"?>
<Properties xmlns="http://schemas.openxmlformats.org/officeDocument/2006/custom-properties" xmlns:vt="http://schemas.openxmlformats.org/officeDocument/2006/docPropsVTypes"/>
</file>