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4" w:space="8"/>
        </w:pBdr>
        <w:spacing w:after="4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SONDRA MACOLLINS GARVIN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color w:val="000000"/>
          <w:spacing w:val="14"/>
          <w:sz w:val="16"/>
          <w:szCs w:val="16"/>
        </w:rPr>
        <w:t xml:space="preserve">ABOGADA PENALISTA   —   ACTIVISTA POLÍTICA</w:t>
      </w:r>
    </w:p>
    <w:p>
      <w:pPr>
        <w:pBdr>
          <w:bottom w:val="single" w:color="000000" w:sz="10" w:space="1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"/>
          <w:szCs w:val="2"/>
        </w:rPr>
        <w:t xml:space="preserve"/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89"/>
        <w:gridCol w:w="3089"/>
        <w:gridCol w:w="3089"/>
      </w:tblGrid>
      <w:tr>
        <w:tc>
          <w:tcPr>
            <w:tcW w:type="pct" w:w="1650"/>
            <w:tcMar>
              <w:top w:type="dxa" w:w="120"/>
              <w:left w:type="dxa" w:w="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12"/>
                <w:sz w:val="15"/>
                <w:szCs w:val="15"/>
              </w:rPr>
              <w:t xml:space="preserve">SEDE PRINCIPAL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Calle 140 #10A-48, Of. 602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Edificio Cedropoint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Bogotá D.C., Colombia</w:t>
            </w:r>
          </w:p>
        </w:tc>
        <w:tc>
          <w:tcPr>
            <w:tcW w:type="pct" w:w="1650"/>
            <w:tcMar>
              <w:top w:type="dxa" w:w="120"/>
              <w:left w:type="dxa" w:w="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12"/>
                <w:sz w:val="15"/>
                <w:szCs w:val="15"/>
              </w:rPr>
              <w:t xml:space="preserve">SUCURSALES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Cali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Barranquilla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Orlando, Florida</w:t>
            </w:r>
          </w:p>
        </w:tc>
        <w:tc>
          <w:tcPr>
            <w:tcW w:type="pct" w:w="1650"/>
            <w:tcMar>
              <w:top w:type="dxa" w:w="120"/>
              <w:left w:type="dxa" w:w="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12"/>
                <w:sz w:val="15"/>
                <w:szCs w:val="15"/>
              </w:rPr>
              <w:t xml:space="preserve">CONTACTO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+1 (407) 437-2546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sondramacol@gmail.com</w:t>
            </w:r>
          </w:p>
        </w:tc>
      </w:tr>
    </w:tbl>
    <w:p>
      <w:pPr>
        <w:pBdr>
          <w:bottom w:val="single" w:color="000000" w:sz="4" w:space="1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spacing w:after="400" w:line="340"/>
        <w:jc w:val="left"/>
      </w:pPr>
      <w:r>
        <w:rPr>
          <w:rFonts w:ascii="Arial" w:cs="Arial" w:eastAsia="Arial" w:hAnsi="Arial"/>
          <w:b/>
          <w:bCs/>
          <w:color w:val="000000"/>
          <w:spacing w:val="14"/>
          <w:sz w:val="16"/>
          <w:szCs w:val="16"/>
        </w:rPr>
        <w:t xml:space="preserve">MEMORANDO INTERNO  —  RECLAMACIÓN FTCA</w:t>
      </w:r>
    </w:p>
    <w:p>
      <w:pPr>
        <w:spacing w:after="200" w:line="340"/>
        <w:jc w:val="left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MEMORANDO INTERNO: ACTUALIZACIÓN CON EL CORREO Y EL CUADRO DE SOPORTES DE CAMILO MAHECHA DEL 14 DE OCTUBRE DE 2026</w:t>
      </w:r>
    </w:p>
    <w:p>
      <w:pPr>
        <w:spacing w:after="0" w:line="3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Caso Dr. Carlos Elías Mahecha Díaz · United States v. Carlos Mahecha, No. 1:19-cr-20738 (S.D. Fla.)</w:t>
      </w:r>
    </w:p>
    <w:p>
      <w:pPr>
        <w:spacing w:after="300" w:line="3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Bogotá D.C., 15 de octubre de 2026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00000"/>
          <w:spacing w:val="14"/>
          <w:sz w:val="16"/>
          <w:szCs w:val="16"/>
        </w:rPr>
        <w:t xml:space="preserve">REFERENCIA</w:t>
      </w:r>
    </w:p>
    <w:p>
      <w:pPr>
        <w:spacing w:after="200" w:line="3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Actualiza el memorando del 29 de septiembre de 2026 y el Anexo 6 versión 2 con el correo de Camilo Mahecha Casas del 14 de octubre de 2026 (cinco aclaraciones sobre fianza, Cooper Strategic, Carlton Fields y K&amp;L Gates, Salazar y Everlaw) y con su archivo "Legal FEES_Cuadro Soportes Pago.xlsx", que trae enlaces a los soportes de pago. Abrí y verifiqué uno por uno los soportes enlazados y los crucé contra el docket del caso. Se acompaña el Anexo 6 versión 3 (Excel), que incluye una copia del cuadro de Camilo.</w:t>
      </w:r>
    </w:p>
    <w:p>
      <w:pPr>
        <w:spacing w:after="200" w:before="340"/>
        <w:jc w:val="left"/>
      </w:pPr>
      <w:r>
        <w:rPr>
          <w:rFonts w:ascii="Arial" w:cs="Arial" w:eastAsia="Arial" w:hAnsi="Arial"/>
          <w:b/>
          <w:bCs/>
          <w:color w:val="000000"/>
          <w:spacing w:val="10"/>
          <w:sz w:val="21"/>
          <w:szCs w:val="21"/>
        </w:rPr>
        <w:t xml:space="preserve">I. RESULTADO: LA CIFRA NO CAMBIA, LA PRUEBA MEJORA MUCHO</w:t>
      </w:r>
    </w:p>
    <w:p>
      <w:pPr>
        <w:spacing w:after="200" w:line="3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La suma cierta con factura sigue en US$1.193.488,41: los soportes nuevos no agregan ni retiran facturas. Lo que cambia es cuánto de esa cifra tiene prueba de pago. El Nivel 1 (factura + comprobante bancario directo) pasa de US$167.997,50 a US$670.522,50.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242"/>
        <w:gridCol w:w="2059"/>
        <w:gridCol w:w="2059"/>
      </w:tblGrid>
      <w:tr>
        <w:tc>
          <w:tcPr>
            <w:tcW w:type="pct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Concepto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29-sep (v2)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15-oct (v3)</w:t>
            </w:r>
          </w:p>
        </w:tc>
      </w:tr>
      <w:tr>
        <w:tc>
          <w:tcPr>
            <w:tcW w:type="pct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Nivel 1 · factura + comprobante directo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167.997,50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670.522,50</w:t>
            </w:r>
          </w:p>
        </w:tc>
      </w:tr>
      <w:tr>
        <w:tc>
          <w:tcPr>
            <w:tcW w:type="pct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Nivel 1-b · factura + prueba indirecta (requiere certificación)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271.095,31</w:t>
            </w:r>
          </w:p>
        </w:tc>
      </w:tr>
      <w:tr>
        <w:tc>
          <w:tcPr>
            <w:tcW w:type="pct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Nivel 2 · solo factura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1.025.490,91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251.870,60</w:t>
            </w:r>
          </w:p>
        </w:tc>
      </w:tr>
      <w:tr>
        <w:tc>
          <w:tcPr>
            <w:tcW w:type="pct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Suma cierta con factura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1.193.488,41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1.193.488,41</w:t>
            </w:r>
          </w:p>
        </w:tc>
      </w:tr>
      <w:tr>
        <w:tc>
          <w:tcPr>
            <w:tcW w:type="pct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Adiciones con soporte 1-b (P1 + P2, saldo P/V y LexisNexis)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soporte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79.885,50</w:t>
            </w:r>
          </w:p>
        </w:tc>
      </w:tr>
      <w:tr>
        <w:tc>
          <w:tcPr>
            <w:tcW w:type="pct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Posibles adiciones sin soporte suficiente (P4, P5, P6, P8)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155.000,00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175.000,00</w:t>
            </w:r>
          </w:p>
        </w:tc>
      </w:tr>
      <w:tr>
        <w:tc>
          <w:tcPr>
            <w:tcW w:type="pct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Costos del bail bond agent (P3)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determinar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77.002,50 (estimado)</w:t>
            </w:r>
          </w:p>
        </w:tc>
      </w:tr>
      <w:tr>
        <w:tc>
          <w:tcPr>
            <w:tcW w:type="pct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Everlaw, porción penal (P7, nuevo)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determinar</w:t>
            </w:r>
          </w:p>
        </w:tc>
      </w:tr>
    </w:tbl>
    <w:p>
      <w:pPr>
        <w:spacing w:after="120" w:line="3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200" w:line="3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Nivel 1-b es una categoría nueva: hay prueba de que el dinero llegó, pero no un SWIFT que identifique la factura (pago global a Carlton, correo del abogado que confirma el recibo, o pago hecho por Piñera-Vázquez desde la fianza devuelta). Con la certificación del despacho correspondiente sube a Nivel 1. Si llegan, la cifra radicable sería US$1.021.503,31 (Nivel 1 + 1-b + P1 + P2).</w:t>
      </w:r>
    </w:p>
    <w:p>
      <w:pPr>
        <w:spacing w:after="200" w:before="340"/>
        <w:jc w:val="left"/>
      </w:pPr>
      <w:r>
        <w:rPr>
          <w:rFonts w:ascii="Arial" w:cs="Arial" w:eastAsia="Arial" w:hAnsi="Arial"/>
          <w:b/>
          <w:bCs/>
          <w:color w:val="000000"/>
          <w:spacing w:val="10"/>
          <w:sz w:val="21"/>
          <w:szCs w:val="21"/>
        </w:rPr>
        <w:t xml:space="preserve">II. LOS CINCO PUNTOS DE CAMILO, VERIFICADOS</w:t>
      </w:r>
    </w:p>
    <w:p>
      <w:pPr>
        <w:spacing w:after="200" w:line="340"/>
        <w:ind w:left="431" w:hanging="316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Fianza de US$500.000 (Silvia Piñera).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Su explicación cuadra con el docket. La fianza fue de US$3.000.000 al 10 % (depósito de US$300.000 al tribunal, DE 21) más un bono corporativo de US$500.000 (DE 22). Del giro de Lenaine: US$300.000 al tribunal, unos US$77.002,50 al bail bond agent y US$122.997,50 al honorario de juicio. Esto resuelve la "coincidencia" del memo anterior: tras el depósito quedaron US$200.000, exactamente el honorario; lo que no se aplicó al honorario es lo que fue al bondsman, y por eso ambas cifras son 77.002,50. El tribunal devolvió US$324.555,08 (DE 138; US$24.555,08 de intereses) y, según el correo de Silvia del 23-dic-2024, se repartió así: P/V US$85.009,38, The Fairway US$10.260 y Trevanes US$229.285,70. Con esto P1 y P2 (US$79.885,50) pasan a tener soporte. Quedan dos dudas: qué son los US$5.123,88 adicionales que recibió P/V, y si P/V ejecutó los giros (el 30-dic aún esperaba la autorización escrita del Dr. Mahecha).</w:t>
      </w:r>
    </w:p>
    <w:p>
      <w:pPr>
        <w:spacing w:after="200" w:line="340"/>
        <w:ind w:left="431" w:hanging="316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Cooper Strategic (pagos vía P/V).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Confirmado. La tabla de Tanya Cooper (102.525 + 60.000 + 37.475 = 200.000) cuadra. El primer pago tiene la cadena completa (SWIFT Lenaine → P/V del 27-ago-2024 y wire P/V → Cooper del 28-ago-2024): Nivel 1. El de US$60.000 tiene correos de P/V y Cooper, pero no el SWIFT de origen: 1-b. El último fue un wire de US$32.475 (9-dic-2024) más el anticipo inicial de US$5.000 que Cooper acreditó; falta el comprobante del anticipo. El segundo enlace de la fila de US$60.000 no es un pago: es el informe pericial de Cooper para el caso 19-20738, que sirve para probar su uso en el juicio (declaró el 18-nov-2024, DE 123).</w:t>
      </w:r>
    </w:p>
    <w:p>
      <w:pPr>
        <w:spacing w:after="200" w:line="340"/>
        <w:ind w:left="431" w:hanging="316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Carlton Fields y K&amp;L Gates (abonos a saldos).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Para Carlton hay dos pagos globales: US$150.000 de Inversiones Carelmah SAS (Banco de Bogotá, 18-jun-2019) y US$49.000 desde la cuenta BofA del Dr. Mahecha y Anastasia Casas (28-jul-2020). Suman US$199.000, más que las facturas Carlton incluidas (US$168.360,31). Pero Carlton facturó otros asuntos en el mismo período, así que hace falta su estado de cuenta o trust ledger para imputarlos: quedan en 1-b. El SWIFT de US$194.307 de sep-2021 paga la factura 1122306 del asunto 15451-46088 (Lee Stapleton), que está excluido del reclamo. Para K&amp;L no llegó ningún soporte: el enlace de la fila 3556337 es el mismo documento de Carlton.</w:t>
      </w:r>
    </w:p>
    <w:p>
      <w:pPr>
        <w:spacing w:after="200" w:line="340"/>
        <w:ind w:left="431" w:hanging="316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4.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Salazar, US$350.000.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El pago está probado: SWIFT de Trevanes a Salazar Law del 2-may-2024 con referencia "FACTURA 6384". La factura es del asunto "Mahecha Defensa Matter" por servicios "through trial", y el docket confirma que Luis Salazar compareció en el caso penal (DE 85, 23-jul-2024), presentó la lista de pruebas y llevó el juicio. Advertencia: el correo de abril-2024 que envía Camilo habla de solicitudes de Dillworth (el Trustee del pleito civil), de informes de expertos y de un juicio que "iba a ser el 7 de junio pero ahora debería ser el 1 de noviembre". Esas fechas no coinciden con el docket penal de ese momento (juicio fijado para el 15-jul-2024). Un examinador puede usarlo para decir que parte del pago fue civil. Sigue siendo indispensable la carta de Salazar que certifique que la 6384 corresponde a la defensa penal (o qué porción).</w:t>
      </w:r>
    </w:p>
    <w:p>
      <w:pPr>
        <w:spacing w:after="200" w:line="340"/>
        <w:ind w:left="431" w:hanging="316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5.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Everlaw.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Tiene razón en que pesa: US$18.690 al mes (no 12.000 a 18.000). Verifiqué US$56.070 de Everlaw en las facturas de costos 6397 (abril-2024) y 6454 (julio y agosto-2024), ambas pagadas por Trevanes (US$39.564,05 el 17-jun-2024 y US$79.228,77 el 30-ago-2024). Pero el propio Salazar escribió que Everlaw almacenaba "archivos de datos civiles y penales", así que solo puede reclamarse la porción penal, con distribución certificada por él. Queda como Pendiente P7, fuera de la cifra hasta tener esa distribución y revisar las demás facturas de costos (6420, 6431 y anteriores).</w:t>
      </w:r>
    </w:p>
    <w:p>
      <w:pPr>
        <w:spacing w:after="200" w:before="340"/>
        <w:jc w:val="left"/>
      </w:pPr>
      <w:r>
        <w:rPr>
          <w:rFonts w:ascii="Arial" w:cs="Arial" w:eastAsia="Arial" w:hAnsi="Arial"/>
          <w:b/>
          <w:bCs/>
          <w:color w:val="000000"/>
          <w:spacing w:val="10"/>
          <w:sz w:val="21"/>
          <w:szCs w:val="21"/>
        </w:rPr>
        <w:t xml:space="preserve">III. HALLAZGOS QUE REQUIEREN ATENCIÓN</w:t>
      </w:r>
    </w:p>
    <w:p>
      <w:pPr>
        <w:spacing w:after="200" w:line="340"/>
        <w:ind w:left="431" w:hanging="316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The Fairway 24-1015 (US$25.000):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el soporte no prueba el pago. El extracto BofA es de Camilo, no del reclamante; muestra una transferencia de US$20.000 a The Fairway el 25-oct-2024 que fue reversada el 30-oct, y un retiro de US$25.000 el 31-oct sin beneficiario. Falta copia del cheque de gerencia o recibo de The Fairway, y prueba de que el Dr. Mahecha reembolsó a Camilo.</w:t>
      </w:r>
    </w:p>
    <w:p>
      <w:pPr>
        <w:spacing w:after="200" w:line="340"/>
        <w:ind w:left="431" w:hanging="316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Salazar 6648: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el soporte enlazado es un correo del 15-ene-2025 sobre la factura 6671 (US$52.542, "cost matter"), no sobre la 6648, y la distribución de la fianza no incluye pagos a Salazar. La partida sigue en Nivel 2.</w:t>
      </w:r>
    </w:p>
    <w:p>
      <w:pPr>
        <w:spacing w:after="200" w:line="340"/>
        <w:ind w:left="431" w:hanging="316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Piñera-Vázquez, marzo de 2021 (saldo de US$110.000):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el enlace del cuadro no abre (Drive responde "no encontrado"). Igual pasa con el segundo enlace de la fila 24-313. Hay que pedirle a Camilo que los comparta de nuevo.</w:t>
      </w:r>
    </w:p>
    <w:p>
      <w:pPr>
        <w:spacing w:after="200" w:line="340"/>
        <w:ind w:left="431" w:hanging="316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4.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Segundo giro a The Fairway (US$20.000, 20-mar-2024):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el SWIFT dice "NOT DUPLICATED // INVOICE 24-313", pero la factura 24-313 es de US$20.000 y ya tiene su propio pago del 19-mar. Hace falta la factura o la explicación de The Fairway (Pendiente P8).</w:t>
      </w:r>
    </w:p>
    <w:p>
      <w:pPr>
        <w:spacing w:after="200" w:line="340"/>
        <w:ind w:left="431" w:hanging="316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5.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Quién pagó: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aparecen cinco pagadores: Trevanes Company Ltd. y Lenaine Ltd. (BVI), Inversiones Carelmah SAS (Colombia), la cuenta BofA del Dr. Mahecha y Anastasia Casas, y la cuenta BofA de Camilo. Sigue pendiente probar que los fondos de las tres sociedades eran del Dr. Mahecha (beneficiario final o acuerdo de préstamo). Los pagos de Camilo necesitan prueba de reembolso. Solo el pago de US$49.000 a Carlton salió de una cuenta del reclamante.</w:t>
      </w:r>
    </w:p>
    <w:p>
      <w:pPr>
        <w:spacing w:after="200" w:line="340"/>
        <w:ind w:left="431" w:hanging="316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6.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Alvarez &amp; Marsal: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llegó la carta de compromiso firmada ("United States v. Mahecha", anticipo de US$15.000). La naturaleza penal queda probada; falta el comprobante del pago.</w:t>
      </w:r>
    </w:p>
    <w:p>
      <w:pPr>
        <w:spacing w:after="200" w:before="340"/>
        <w:jc w:val="left"/>
      </w:pPr>
      <w:r>
        <w:rPr>
          <w:rFonts w:ascii="Arial" w:cs="Arial" w:eastAsia="Arial" w:hAnsi="Arial"/>
          <w:b/>
          <w:bCs/>
          <w:color w:val="000000"/>
          <w:spacing w:val="10"/>
          <w:sz w:val="21"/>
          <w:szCs w:val="21"/>
        </w:rPr>
        <w:t xml:space="preserve">IV. CORRECCIÓN AL CÁLCULO DE PRIVACIÓN DE LIBERTAD</w:t>
      </w:r>
    </w:p>
    <w:p>
      <w:pPr>
        <w:spacing w:after="200" w:line="3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En el correo del 29-sep pedí confirmar con el docket si el GPS se levantó antes del veredicto. Lo verifiqué: sí. El Dr. Mahecha fue arrestado el 5-may-2023 (DE 13) y liberado el 9-may-2023 (DE 15-16). El 24-ago-2023 el tribunal autorizó retirar el brazalete GPS y dejarlo en régimen de presentación (DE 32). Quedan así: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7488"/>
        <w:gridCol w:w="1872"/>
      </w:tblGrid>
      <w:tr>
        <w:tc>
          <w:tcPr>
            <w:tcW w:type="pct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Período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Días</w:t>
            </w:r>
          </w:p>
        </w:tc>
      </w:tr>
      <w:tr>
        <w:tc>
          <w:tcPr>
            <w:tcW w:type="pct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Custodia (5 al 9-may-2023)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pct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Libertad con GPS (9-may al 24-ago-2023)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</w:t>
            </w:r>
          </w:p>
        </w:tc>
      </w:tr>
      <w:tr>
        <w:tc>
          <w:tcPr>
            <w:tcW w:type="pct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Libertad bajo condiciones sin GPS (24-ago-2023 al 21-nov-2024)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455</w:t>
            </w:r>
          </w:p>
        </w:tc>
      </w:tr>
      <w:tr>
        <w:tc>
          <w:tcPr>
            <w:tcW w:type="pct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en libertad bajo condiciones hasta el veredicto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562</w:t>
            </w:r>
          </w:p>
        </w:tc>
      </w:tr>
    </w:tbl>
    <w:p>
      <w:pPr>
        <w:spacing w:after="120" w:line="3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200" w:line="3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El memorando del 29-sep usaba 563 días "con GPS". Hay que corregirlo en la carta y en el componente de daño moral: la tarifa diaria más alta solo puede aplicarse a los 4 días de custodia y a los 107 días con GPS, y una menor a los 455 días restantes. Esto baja los escenarios de daño moral que propuse el 29-sep (US$1,15 y US$2,28 millones), que habrá que recalcular.</w:t>
      </w:r>
    </w:p>
    <w:p>
      <w:pPr>
        <w:spacing w:after="200" w:before="340"/>
        <w:jc w:val="left"/>
      </w:pPr>
      <w:r>
        <w:rPr>
          <w:rFonts w:ascii="Arial" w:cs="Arial" w:eastAsia="Arial" w:hAnsi="Arial"/>
          <w:b/>
          <w:bCs/>
          <w:color w:val="000000"/>
          <w:spacing w:val="10"/>
          <w:sz w:val="21"/>
          <w:szCs w:val="21"/>
        </w:rPr>
        <w:t xml:space="preserve">V. LO QUE FALTA (PARA PEDIRLE A CAMILO)</w:t>
      </w:r>
    </w:p>
    <w:p>
      <w:pPr>
        <w:spacing w:after="200" w:line="340"/>
        <w:ind w:left="431" w:hanging="316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/>
      </w:r>
      <w:r>
        <w:rPr>
          <w:rFonts w:ascii="Arial" w:cs="Arial" w:eastAsia="Arial" w:hAnsi="Arial"/>
          <w:color w:val="000000"/>
          <w:sz w:val="21"/>
          <w:szCs w:val="21"/>
        </w:rPr>
        <w:t xml:space="preserve">Volver a compartir los dos enlaces que no abren (P/V marzo 2021 y el segundo de la fila 24-313).</w:t>
      </w:r>
    </w:p>
    <w:p>
      <w:pPr>
        <w:spacing w:after="200" w:line="340"/>
        <w:ind w:left="431" w:hanging="316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/>
      </w:r>
      <w:r>
        <w:rPr>
          <w:rFonts w:ascii="Arial" w:cs="Arial" w:eastAsia="Arial" w:hAnsi="Arial"/>
          <w:color w:val="000000"/>
          <w:sz w:val="21"/>
          <w:szCs w:val="21"/>
        </w:rPr>
        <w:t xml:space="preserve">Carta de Salazar que certifique que la factura 6384 (US$350.000) corresponde a la defensa penal, y la distribución civil/penal de Everlaw con todas las facturas de costos que lo incluyen.</w:t>
      </w:r>
    </w:p>
    <w:p>
      <w:pPr>
        <w:spacing w:after="200" w:line="340"/>
        <w:ind w:left="431" w:hanging="316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/>
      </w:r>
      <w:r>
        <w:rPr>
          <w:rFonts w:ascii="Arial" w:cs="Arial" w:eastAsia="Arial" w:hAnsi="Arial"/>
          <w:color w:val="000000"/>
          <w:sz w:val="21"/>
          <w:szCs w:val="21"/>
        </w:rPr>
        <w:t xml:space="preserve">De Piñera-Vázquez: confirmación de los giros desde la fianza devuelta (P/V, The Fairway, Trevanes), explicación de los US$5.123,88, ledger del trust que muestre el origen de los US$32.475 pagados a Cooper, y estado de cuenta 2021-2022.</w:t>
      </w:r>
    </w:p>
    <w:p>
      <w:pPr>
        <w:spacing w:after="200" w:line="340"/>
        <w:ind w:left="431" w:hanging="316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4.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/>
      </w:r>
      <w:r>
        <w:rPr>
          <w:rFonts w:ascii="Arial" w:cs="Arial" w:eastAsia="Arial" w:hAnsi="Arial"/>
          <w:color w:val="000000"/>
          <w:sz w:val="21"/>
          <w:szCs w:val="21"/>
        </w:rPr>
        <w:t xml:space="preserve">Contrato y recibos del bail bond agent (P3).</w:t>
      </w:r>
    </w:p>
    <w:p>
      <w:pPr>
        <w:spacing w:after="200" w:line="340"/>
        <w:ind w:left="431" w:hanging="316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5.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/>
      </w:r>
      <w:r>
        <w:rPr>
          <w:rFonts w:ascii="Arial" w:cs="Arial" w:eastAsia="Arial" w:hAnsi="Arial"/>
          <w:color w:val="000000"/>
          <w:sz w:val="21"/>
          <w:szCs w:val="21"/>
        </w:rPr>
        <w:t xml:space="preserve">Estado de cuenta o trust ledger de Carlton Fields (asunto 13390-36114 y el de la defensa 2019-2021) y de K&amp;L Gates.</w:t>
      </w:r>
    </w:p>
    <w:p>
      <w:pPr>
        <w:spacing w:after="200" w:line="340"/>
        <w:ind w:left="431" w:hanging="316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6.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/>
      </w:r>
      <w:r>
        <w:rPr>
          <w:rFonts w:ascii="Arial" w:cs="Arial" w:eastAsia="Arial" w:hAnsi="Arial"/>
          <w:color w:val="000000"/>
          <w:sz w:val="21"/>
          <w:szCs w:val="21"/>
        </w:rPr>
        <w:t xml:space="preserve">SWIFT del giro de US$60.000 a P/V (20-sep-2024), comprobante del anticipo de US$5.000 a Cooper, pago a A&amp;M, pago de The Fairway 23-038 y 24-1015, y pago de Salazar 6648.</w:t>
      </w:r>
    </w:p>
    <w:p>
      <w:pPr>
        <w:spacing w:after="200" w:line="340"/>
        <w:ind w:left="431" w:hanging="316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7.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/>
      </w:r>
      <w:r>
        <w:rPr>
          <w:rFonts w:ascii="Arial" w:cs="Arial" w:eastAsia="Arial" w:hAnsi="Arial"/>
          <w:color w:val="000000"/>
          <w:sz w:val="21"/>
          <w:szCs w:val="21"/>
        </w:rPr>
        <w:t xml:space="preserve">Factura o explicación del segundo giro de US$20.000 a The Fairway.</w:t>
      </w:r>
    </w:p>
    <w:p>
      <w:pPr>
        <w:spacing w:after="200" w:line="340"/>
        <w:ind w:left="431" w:hanging="316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8.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/>
      </w:r>
      <w:r>
        <w:rPr>
          <w:rFonts w:ascii="Arial" w:cs="Arial" w:eastAsia="Arial" w:hAnsi="Arial"/>
          <w:color w:val="000000"/>
          <w:sz w:val="21"/>
          <w:szCs w:val="21"/>
        </w:rPr>
        <w:t xml:space="preserve">Prueba de titularidad de Trevanes, Lenaine e Inversiones Carelmah, y prueba de reembolso de lo que pagó Camilo.</w:t>
      </w:r>
    </w:p>
    <w:p>
      <w:pPr>
        <w:spacing w:after="200" w:line="340"/>
        <w:ind w:left="431" w:hanging="316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9.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/>
      </w:r>
      <w:r>
        <w:rPr>
          <w:rFonts w:ascii="Arial" w:cs="Arial" w:eastAsia="Arial" w:hAnsi="Arial"/>
          <w:color w:val="000000"/>
          <w:sz w:val="21"/>
          <w:szCs w:val="21"/>
        </w:rPr>
        <w:t xml:space="preserve">Cartas de compromiso de Schuster, Hernandez de Luque Brothers y Retureta &amp; Wassem (P4 a P6), que Camilo no abordó.</w:t>
      </w:r>
    </w:p>
    <w:p>
      <w:pPr>
        <w:spacing w:after="200" w:before="340"/>
        <w:jc w:val="left"/>
      </w:pPr>
      <w:r>
        <w:rPr>
          <w:rFonts w:ascii="Arial" w:cs="Arial" w:eastAsia="Arial" w:hAnsi="Arial"/>
          <w:b/>
          <w:bCs/>
          <w:color w:val="000000"/>
          <w:spacing w:val="10"/>
          <w:sz w:val="21"/>
          <w:szCs w:val="21"/>
        </w:rPr>
        <w:t xml:space="preserve">VI. CALENDARIO</w:t>
      </w:r>
    </w:p>
    <w:p>
      <w:pPr>
        <w:spacing w:after="200" w:line="3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 mantiene el corte del 23 de octubre: lo que a esa fecha no tenga comprobante sale de la cifra y se agrega por enmienda si aparece después (28 C.F.R. § 14.2(c)). Firma y envío el 30 de octubre; vencimiento el 21 de noviembre de 2026.</w:t>
      </w:r>
    </w:p>
    <w:p>
      <w:pPr>
        <w:spacing w:after="900" w:line="3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Atentamente,</w:t>
      </w:r>
    </w:p>
    <w:p>
      <w:pPr>
        <w:spacing w:after="0" w:line="3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_____________________________________</w:t>
      </w:r>
    </w:p>
    <w:p>
      <w:pPr>
        <w:spacing w:after="0" w:line="340"/>
        <w:jc w:val="both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SONDRA MACOLLINS GARVIN</w:t>
      </w:r>
    </w:p>
    <w:p>
      <w:pPr>
        <w:spacing w:after="0" w:line="3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C.C. No. 66.921.526 de Cali</w:t>
      </w:r>
    </w:p>
    <w:p>
      <w:pPr>
        <w:spacing w:after="0" w:line="3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T.P. No. 92.231 del C.S.J.</w:t>
      </w:r>
    </w:p>
    <w:p>
      <w:pPr>
        <w:spacing w:after="0" w:line="3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Directora — Fundación LEYFY Derechos Humanos</w:t>
      </w:r>
    </w:p>
    <w:p>
      <w:pPr>
        <w:spacing w:after="0" w:line="3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Presidenta — Corporación Partido Digital Colombiano</w:t>
      </w:r>
    </w:p>
    <w:sectPr>
      <w:footerReference w:type="default" r:id="rId6"/>
      <w:pgSz w:w="12240" w:h="15840" w:orient="portrait"/>
      <w:pgMar w:top="10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5"/>
        <w:szCs w:val="15"/>
      </w:rPr>
      <w:t xml:space="preserve">Página </w:t>
    </w:r>
    <w:r>
      <w:rPr>
        <w:rFonts w:ascii="Arial" w:cs="Arial" w:eastAsia="Arial" w:hAnsi="Arial"/>
        <w:color w:val="00000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000000"/>
        <w:sz w:val="15"/>
        <w:szCs w:val="15"/>
      </w:rPr>
      <w:t xml:space="preserve"> de </w:t>
    </w:r>
    <w:r>
      <w:rPr>
        <w:rFonts w:ascii="Arial" w:cs="Arial" w:eastAsia="Arial" w:hAnsi="Arial"/>
        <w:color w:val="00000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2026-10-15T14:18:44.733Z</dcterms:created>
  <dcterms:modified xsi:type="dcterms:W3CDTF">2026-10-15T14:18:44.734Z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