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员工费用报销管理制度</w:t>
      </w:r>
    </w:p>
    <w:p>
      <w:r>
        <w:t>第一条 适用范围</w:t>
      </w:r>
    </w:p>
    <w:p>
      <w:r>
        <w:t>本制度适用于公司全体员工因公发生的差旅费、招待费、办公用品费及培训费用的报销。</w:t>
      </w:r>
    </w:p>
    <w:p>
      <w:r>
        <w:t>第二条 报销限额</w:t>
      </w:r>
    </w:p>
    <w:p>
      <w:r>
        <w:t>单笔报销金额不得超过 5000 元，超出部分需提交总经理书面审批。</w:t>
      </w:r>
    </w:p>
    <w:p>
      <w:r>
        <w:t>其中：差旅费单笔不得超过 5000 元；招待费单笔不得超过 3000 元。</w:t>
      </w:r>
    </w:p>
    <w:p>
      <w:r>
        <w:t>办公用品费单笔不得超过 2000 元；培训费单笔不得超过 5000 元。</w:t>
      </w:r>
    </w:p>
    <w:p>
      <w:r>
        <w:t>第三条 提交时限</w:t>
      </w:r>
    </w:p>
    <w:p>
      <w:r>
        <w:t>费用发生后 30 个自然日内需提交报销申请，逾期不予受理。</w:t>
      </w:r>
    </w:p>
    <w:p>
      <w:r>
        <w:t>第四条 审批流程</w:t>
      </w:r>
    </w:p>
    <w:p>
      <w:r>
        <w:t>单笔 2000 元以下由部门负责人审批。</w:t>
      </w:r>
    </w:p>
    <w:p>
      <w:r>
        <w:t>单笔 2000 元至 5000 元由部门负责人与财务负责人共同审批。</w:t>
      </w:r>
    </w:p>
    <w:p>
      <w:r>
        <w:t>单笔 5000 元以上需经总经理审批。</w:t>
      </w:r>
    </w:p>
    <w:p>
      <w:r>
        <w:t>第五条 必备材料</w:t>
      </w:r>
    </w:p>
    <w:p>
      <w:r>
        <w:t>报销时须附发票原件、费用明细清单及对应的审批记录。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费用类型</w:t>
            </w:r>
          </w:p>
        </w:tc>
        <w:tc>
          <w:tcPr>
            <w:tcW w:type="dxa" w:w="2880"/>
          </w:tcPr>
          <w:p>
            <w:r>
              <w:t>单笔限额（元）</w:t>
            </w:r>
          </w:p>
        </w:tc>
        <w:tc>
          <w:tcPr>
            <w:tcW w:type="dxa" w:w="2880"/>
          </w:tcPr>
          <w:p>
            <w:r>
              <w:t>审批层级</w:t>
            </w:r>
          </w:p>
        </w:tc>
      </w:tr>
      <w:tr>
        <w:tc>
          <w:tcPr>
            <w:tcW w:type="dxa" w:w="2880"/>
          </w:tcPr>
          <w:p>
            <w:r>
              <w:t>差旅费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  <w:tc>
          <w:tcPr>
            <w:tcW w:type="dxa" w:w="2880"/>
          </w:tcPr>
          <w:p>
            <w:r>
              <w:t>部门负责人 + 财务负责人</w:t>
            </w:r>
          </w:p>
        </w:tc>
      </w:tr>
      <w:tr>
        <w:tc>
          <w:tcPr>
            <w:tcW w:type="dxa" w:w="2880"/>
          </w:tcPr>
          <w:p>
            <w:r>
              <w:t>招待费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  <w:tc>
          <w:tcPr>
            <w:tcW w:type="dxa" w:w="2880"/>
          </w:tcPr>
          <w:p>
            <w:r>
              <w:t>部门负责人 + 财务负责人</w:t>
            </w:r>
          </w:p>
        </w:tc>
      </w:tr>
      <w:tr>
        <w:tc>
          <w:tcPr>
            <w:tcW w:type="dxa" w:w="2880"/>
          </w:tcPr>
          <w:p>
            <w:r>
              <w:t>办公用品费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</w:tr>
      <w:tr>
        <w:tc>
          <w:tcPr>
            <w:tcW w:type="dxa" w:w="2880"/>
          </w:tcPr>
          <w:p>
            <w:r>
              <w:t>培训费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  <w:tc>
          <w:tcPr>
            <w:tcW w:type="dxa" w:w="2880"/>
          </w:tcPr>
          <w:p>
            <w:r>
              <w:t>部门负责人 + 财务负责人</w:t>
            </w:r>
          </w:p>
        </w:tc>
      </w:tr>
    </w:tbl>
    <w:p>
      <w:r>
        <w:t>第六条 附则</w:t>
      </w:r>
    </w:p>
    <w:p>
      <w:r>
        <w:t>本制度自 2026 年 1 月 1 日起施行，由财务部负责解释。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