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11C6D" w14:textId="77777777" w:rsidR="00EA064B" w:rsidRDefault="00000000">
      <w:pPr>
        <w:pStyle w:val="Title1"/>
      </w:pPr>
      <w:r>
        <w:t>시장공통·글로벌 요인을 제거한 한국 USDT 잔차의 하단 꼬리 반응과 레버리지 포지셔닝 채널</w:t>
      </w:r>
    </w:p>
    <w:p w14:paraId="12DC6D6C" w14:textId="77777777" w:rsidR="00EA064B" w:rsidRDefault="00000000">
      <w:pPr>
        <w:pStyle w:val="Name"/>
      </w:pPr>
      <w:r>
        <w:t>김 수 빈* · 송 재 욱**†</w:t>
      </w:r>
    </w:p>
    <w:p w14:paraId="2D5E8A53" w14:textId="77777777" w:rsidR="00EA064B" w:rsidRDefault="00000000">
      <w:pPr>
        <w:pStyle w:val="afc"/>
      </w:pPr>
      <w:r>
        <w:t>한양대학교 산업공학과</w:t>
      </w:r>
    </w:p>
    <w:p w14:paraId="1EED4D93" w14:textId="77777777" w:rsidR="00EA064B" w:rsidRDefault="00000000">
      <w:pPr>
        <w:pStyle w:val="afa"/>
      </w:pPr>
      <w:r>
        <w:t>Lower-Tail Dynamics of the Korean USDT Residual and the Leverage-Positioning Channel after Removing Market-Common and Global Components</w:t>
      </w:r>
    </w:p>
    <w:p w14:paraId="10C5B574" w14:textId="77777777" w:rsidR="00EA064B" w:rsidRDefault="00000000">
      <w:pPr>
        <w:pStyle w:val="afb"/>
      </w:pPr>
      <w:r>
        <w:t>Soo Been Kim · Jae Wook Song</w:t>
      </w:r>
    </w:p>
    <w:p w14:paraId="0BCEEDB3" w14:textId="77777777" w:rsidR="00EA064B" w:rsidRDefault="00000000">
      <w:pPr>
        <w:pStyle w:val="afd"/>
      </w:pPr>
      <w:r>
        <w:t>Department of Industrial Engineering, Hanyang University</w:t>
      </w:r>
    </w:p>
    <w:p w14:paraId="1C81953E" w14:textId="77777777" w:rsidR="00EA064B" w:rsidRDefault="00000000">
      <w:pPr>
        <w:pStyle w:val="abstracttitle"/>
        <w:ind w:firstLine="164"/>
      </w:pPr>
      <w:r>
        <w:t>Abstract</w:t>
      </w:r>
    </w:p>
    <w:p w14:paraId="32471B41" w14:textId="77777777" w:rsidR="00EA064B" w:rsidRDefault="00000000">
      <w:pPr>
        <w:pStyle w:val="Astract"/>
      </w:pPr>
      <w:r>
        <w:t>This study identifies a stablecoin-specific residual in the Korean USDT premium and characterizes its tail dynamics. After removing a market-wide kimchi-premium factor constructed from the five most-traded crypto assets and a global stablecoin depeg component in two stages, a statistically significant idiosyncratic residual remains. Using hourly data from June 2025 to March 2026 and quantile regression with daily block-bootstrap inference, we show that the residual responds negatively to crypto downside shocks, that this response is concentrated in the lower tail and amplifies over a 6-12 hour horizon, and that it is mediated by crypto-derivatives leverage positioning measured by account long/short ratios. The leverage channel survives controlling for global volatility, and is robust across equal-weighted, capitalization-weighted, and principal-component definitions of the market premium as well as to the exclusion of the largest stress episodes. The findings indicate that the Korean USDT residual is not noise but reflects a deleveraging-demand channel that links the global crypto leverage cycle to the tail of Korea's stablecoin premium; sub-period stability, however, is limited by the short sample.</w:t>
      </w:r>
    </w:p>
    <w:p w14:paraId="6CED5B23" w14:textId="77777777" w:rsidR="00EA064B" w:rsidRDefault="00000000">
      <w:pPr>
        <w:pStyle w:val="keyword"/>
      </w:pPr>
      <w:proofErr w:type="gramStart"/>
      <w:r>
        <w:t>Keywords :</w:t>
      </w:r>
      <w:proofErr w:type="gramEnd"/>
      <w:r>
        <w:t xml:space="preserve"> Stablecoin, Kimchi Premium, USDT, Quantile Regression, Leverage, Deleveraging Demand</w:t>
      </w:r>
    </w:p>
    <w:p w14:paraId="68CE3557" w14:textId="77777777" w:rsidR="00EA064B" w:rsidRDefault="00000000">
      <w:pPr>
        <w:pStyle w:val="afe"/>
      </w:pPr>
      <w:r>
        <w:t>* 한양대학교 산업공학과 석사과정    ** 한양대학교 산업공학과    † 교신저자, jwsong@hanyang.ac.kr</w:t>
      </w:r>
    </w:p>
    <w:p w14:paraId="49E12C89" w14:textId="77777777" w:rsidR="00EF7EF3" w:rsidRPr="00197247" w:rsidRDefault="00EF7EF3" w:rsidP="00034833">
      <w:pPr>
        <w:ind w:firstLine="174"/>
        <w:rPr>
          <w:rFonts w:ascii="바탕체" w:eastAsia="바탕체" w:hAnsi="바탕체"/>
          <w:sz w:val="20"/>
          <w:szCs w:val="22"/>
        </w:rPr>
        <w:sectPr w:rsidR="00EF7EF3" w:rsidRPr="00197247" w:rsidSect="00F41E7D">
          <w:headerReference w:type="even" r:id="rId8"/>
          <w:headerReference w:type="default" r:id="rId9"/>
          <w:footerReference w:type="even" r:id="rId10"/>
          <w:footerReference w:type="default" r:id="rId11"/>
          <w:headerReference w:type="first" r:id="rId12"/>
          <w:footerReference w:type="first" r:id="rId13"/>
          <w:footnotePr>
            <w:numFmt w:val="chicago"/>
            <w:numStart w:val="2"/>
          </w:footnotePr>
          <w:pgSz w:w="11906" w:h="16838" w:code="9"/>
          <w:pgMar w:top="2552" w:right="1786" w:bottom="2835" w:left="1786" w:header="1474" w:footer="0" w:gutter="0"/>
          <w:cols w:space="425"/>
          <w:docGrid w:linePitch="360"/>
        </w:sectPr>
      </w:pPr>
    </w:p>
    <w:p w14:paraId="5E766D1E" w14:textId="77777777" w:rsidR="00EA064B" w:rsidRDefault="00000000">
      <w:pPr>
        <w:pStyle w:val="10"/>
      </w:pPr>
      <w:r>
        <w:t xml:space="preserve">1. </w:t>
      </w:r>
      <w:proofErr w:type="gramStart"/>
      <w:r>
        <w:t>서  론</w:t>
      </w:r>
      <w:proofErr w:type="gramEnd"/>
    </w:p>
    <w:p w14:paraId="00450094" w14:textId="77777777" w:rsidR="00EA064B" w:rsidRDefault="00000000">
      <w:pPr>
        <w:ind w:firstLine="164"/>
      </w:pPr>
      <w:r>
        <w:t>스테이블코인은 법정화폐에 가치를 고정하도록 설계된 디지털 자산으로, 암호자산 시장에서 결제</w:t>
      </w:r>
      <w:r>
        <w:t>·</w:t>
      </w:r>
      <w:r>
        <w:t>정산과 유동성 공급의 핵심 인프라로 기능한다. 특히 테더(USDT)는 전 세계 암호자산 거래의 기축 통화 역</w:t>
      </w:r>
      <w:r>
        <w:t>할을 수행하며, 한국 원화(KRW) 시장에서도 2023년 12월 원화-USDT 마켓 개설 이후 거래 규모가 빠르게 확대되었다.</w:t>
      </w:r>
    </w:p>
    <w:p w14:paraId="7233D7B9" w14:textId="77777777" w:rsidR="00EA064B" w:rsidRDefault="00000000">
      <w:pPr>
        <w:ind w:firstLine="164"/>
      </w:pPr>
      <w:r>
        <w:t>스테이블코인이 1달러에 고정되어 있다면, 환율만 반영할 경우 한국 시장에서도 환산 환율 수준에서 거래되는 것이 자연스럽다. 그러나 실제로는 한국 시장에서 USDT가 환산 환율을 상회하는 추가적인 프</w:t>
      </w:r>
      <w:r>
        <w:lastRenderedPageBreak/>
        <w:t>리미엄을 동반해 거래되는 사례가 반복적으로 관찰된다. 이러한 국가 간 가격 괴리는 기존 문헌에서 김치프리미엄(kimchi premium)으로 정의되어 왔으며, 자본 이동 제약</w:t>
      </w:r>
      <w:r>
        <w:t>·</w:t>
      </w:r>
      <w:r>
        <w:t>송금 지연</w:t>
      </w:r>
      <w:r>
        <w:t>·</w:t>
      </w:r>
      <w:r>
        <w:t>시장 분절과 같은 구조적 마찰에서 비롯된다고 설명된다(Choi et al., 2022; Lee, 2021).</w:t>
      </w:r>
    </w:p>
    <w:p w14:paraId="49E7C99F" w14:textId="77777777" w:rsidR="00EA064B" w:rsidRDefault="00000000">
      <w:pPr>
        <w:ind w:firstLine="164"/>
      </w:pPr>
      <w:r>
        <w:t>그러나 기존 연구는 주로 비트코인(BTC)의 가격 괴리를 한국 시장 전체의 김치프리미엄 대리변수로 사용해 왔다. 비트코인은 투기적 변동성이 크고 시장 상황에 따라 가격 발견 구조가 크게 달라지는 위험자산이므로, 단일 자산 기반의 김치프리미엄은 페그 제약을 갖는 스테이블코인의 가격 형성을 분석하는 데 측정 편의를 동반한다. 즉 USDT 프리미엄에는 시장 전체에 공통으로 작용하는 분절 요인과 스테이블코인 고유의 요인이 혼재되어 있다.</w:t>
      </w:r>
    </w:p>
    <w:p w14:paraId="5C2EB2E6" w14:textId="77777777" w:rsidR="00EA064B" w:rsidRDefault="00000000">
      <w:pPr>
        <w:ind w:firstLine="164"/>
      </w:pPr>
      <w:r>
        <w:t>본 연구는 한국 USDT 프리미엄에서 (1) 다수 암호자산에 공통으로 나타나는 시장 대표 김치프리미엄과 (2) 글로벌 스테이블코인 디펙(depeg) 충격을 단계적으로 제거한 뒤 남는 스테이블코인 고유의 가격 괴리를 잔차(residual)로 정의하고, 그 잔차가 어떤 조건에서 확대되며 무엇에 의해 결정되는지를 분석한다. 구체적으로 본 연구는 다음 세 가지 질문에 답한다. 첫째, 공통</w:t>
      </w:r>
      <w:r>
        <w:t>·</w:t>
      </w:r>
      <w:r>
        <w:t xml:space="preserve">글로벌 요인을 제거한 뒤에도 통계적으로 유의한 고유 잔차가 </w:t>
      </w:r>
      <w:proofErr w:type="gramStart"/>
      <w:r>
        <w:t>존재하는가.</w:t>
      </w:r>
      <w:proofErr w:type="gramEnd"/>
      <w:r>
        <w:t xml:space="preserve"> 둘째, 그 잔차는 단순한 잡음이 아니라 특정 충격에 체계적으로 반응하는 구조를 </w:t>
      </w:r>
      <w:proofErr w:type="gramStart"/>
      <w:r>
        <w:t>갖는가.</w:t>
      </w:r>
      <w:proofErr w:type="gramEnd"/>
      <w:r>
        <w:t xml:space="preserve"> 셋째, 그 반응은 무엇을 통해 </w:t>
      </w:r>
      <w:proofErr w:type="gramStart"/>
      <w:r>
        <w:t>작동하는가.</w:t>
      </w:r>
      <w:proofErr w:type="gramEnd"/>
    </w:p>
    <w:p w14:paraId="06920F1B" w14:textId="77777777" w:rsidR="00EA064B" w:rsidRDefault="00000000">
      <w:pPr>
        <w:ind w:firstLine="164"/>
      </w:pPr>
      <w:r>
        <w:t>본 연구의 기여는 다음과 같다. 첫째, 단일 자산 의존에서 벗어나 시장 공통 프리미엄을 통제한 스테이블코인 잔차 측정 프레임워크를 제시한다. 둘째, 평균이 아닌 조건부 분위수와 로컬 프로젝션을 이용해 잔차 반응의 비대칭성과 지속성을 규명한다. 셋째, 잔차의 하단 꼬리 반응이 암호자산 파생상품의 레버리지 포지셔닝을 통해 매개됨을 보여, 가격 괴리에 대한 경제적 메커니즘 해석을 제공한다.</w:t>
      </w:r>
    </w:p>
    <w:p w14:paraId="2C5A215A" w14:textId="77777777" w:rsidR="00EA064B" w:rsidRDefault="00000000">
      <w:pPr>
        <w:pStyle w:val="10"/>
      </w:pPr>
      <w:r>
        <w:t>2. 선행연구</w:t>
      </w:r>
    </w:p>
    <w:p w14:paraId="18BE496C" w14:textId="77777777" w:rsidR="00EA064B" w:rsidRDefault="00000000">
      <w:pPr>
        <w:ind w:firstLine="164"/>
      </w:pPr>
      <w:r>
        <w:t xml:space="preserve">국가 간 암호자산 가격 괴리에 관한 연구는 시장 분절과 차익거래 마찰을 핵심 원인으로 지목해 왔다. Choi </w:t>
      </w:r>
      <w:proofErr w:type="gramStart"/>
      <w:r>
        <w:t>et al.(2022)은</w:t>
      </w:r>
      <w:proofErr w:type="gramEnd"/>
      <w:r>
        <w:t xml:space="preserve"> 고빈도 자료를 이용해 한국과 글로벌 시장 간 비트코인 가격차가 거래 마찰과 자본 통제에 의해 지속됨을 보였고, </w:t>
      </w:r>
      <w:proofErr w:type="gramStart"/>
      <w:r>
        <w:t>Lee(2021)는</w:t>
      </w:r>
      <w:proofErr w:type="gramEnd"/>
      <w:r>
        <w:t xml:space="preserve"> 김치프리미엄이 투기적 거래와 결합해 비선형적으로 확대됨을 보고하였다. Makarov and Schoar(2020)는 암호자산 시장의 분절과 차익거래 한계를 체계적으로 분석하였다.</w:t>
      </w:r>
    </w:p>
    <w:p w14:paraId="571371E6" w14:textId="77777777" w:rsidR="00EA064B" w:rsidRDefault="00000000">
      <w:pPr>
        <w:ind w:firstLine="164"/>
      </w:pPr>
      <w:r>
        <w:t>스테이블코인의 가격 안정성에 관한 문헌은 준비자산</w:t>
      </w:r>
      <w:r>
        <w:t>·</w:t>
      </w:r>
      <w:r>
        <w:t>상환 채널</w:t>
      </w:r>
      <w:r>
        <w:t>·</w:t>
      </w:r>
      <w:r>
        <w:t>발행자 신용</w:t>
      </w:r>
      <w:r>
        <w:t>·</w:t>
      </w:r>
      <w:r>
        <w:t xml:space="preserve">유동성이 페그를 결정한다고 본다. Lyons and Viswanath-Natraj(2023)는 차익거래 접근성이 페그 안정의 핵심임을 보였고, Kozhan and Viswanath-Natraj(2023)는 스테이블코인의 평가절하 위험을 가격에 반영된 위험 프리미엄으로 분석하였다. Aldasoro </w:t>
      </w:r>
      <w:proofErr w:type="gramStart"/>
      <w:r>
        <w:t>et al.(2024)은</w:t>
      </w:r>
      <w:proofErr w:type="gramEnd"/>
      <w:r>
        <w:t xml:space="preserve"> 스테이블코인을 단기금융자산에 의해 뒷받침되는 온체인 부채로 규정하고 단기금융펀드와 유사한 런(run) 위험을 강조하였다.</w:t>
      </w:r>
    </w:p>
    <w:p w14:paraId="20057134" w14:textId="77777777" w:rsidR="00EA064B" w:rsidRDefault="00000000">
      <w:pPr>
        <w:ind w:firstLine="164"/>
      </w:pPr>
      <w:r>
        <w:t xml:space="preserve">최근에는 레버리지와 페그의 연결이 주목받는다. Gorton </w:t>
      </w:r>
      <w:proofErr w:type="gramStart"/>
      <w:r>
        <w:t>et al.(2025)은</w:t>
      </w:r>
      <w:proofErr w:type="gramEnd"/>
      <w:r>
        <w:t xml:space="preserve"> 암호자산 레버리지 사이클이 스테이블코인 페그 압력으로 전이되는 경로를 제시하였고, Li </w:t>
      </w:r>
      <w:proofErr w:type="gramStart"/>
      <w:r>
        <w:t>et al.(2023)은</w:t>
      </w:r>
      <w:proofErr w:type="gramEnd"/>
      <w:r>
        <w:t xml:space="preserve"> 스트레스 국면에서 스테이블코인 수요가 안전자산으로의 도피와 결합함을 보였다. 본 연구는 이러한 논의를 한국 시장에 적용하되, 시장 공통 및 글로벌 성분을 제거한 잔차에서도 레버리지 포지셔닝과의 연결이 남는지를 검증한다는 점에서 차별화된다.</w:t>
      </w:r>
    </w:p>
    <w:p w14:paraId="0BD499E8" w14:textId="77777777" w:rsidR="00EA064B" w:rsidRDefault="00000000">
      <w:pPr>
        <w:pStyle w:val="10"/>
      </w:pPr>
      <w:r>
        <w:t>3. 데이터 및 변수</w:t>
      </w:r>
    </w:p>
    <w:p w14:paraId="76210DBA" w14:textId="77777777" w:rsidR="00EA064B" w:rsidRDefault="00000000">
      <w:pPr>
        <w:ind w:firstLine="164"/>
      </w:pPr>
      <w:r>
        <w:t>분석 표본은 2025년 6월부터 2026년 3월까지의 1시간 단위(hourly) 자료로 총 715개 관측치이다. 고빈도 자료를 사용하는 이유는 스테이블코인 가격 괴리가 단시간에 발생</w:t>
      </w:r>
      <w:r>
        <w:t>·</w:t>
      </w:r>
      <w:r>
        <w:t>해소되는 특성을 반영하기 위</w:t>
      </w:r>
      <w:r>
        <w:lastRenderedPageBreak/>
        <w:t>함이다. 한국 가격은 업비트(Upbit) 원화 시장, 글로벌 가격은 바이낸스(Binance)에서 수집하며, 원화-USDT 시장이 공식적으로 개설된 2023년 12월 이후 자료만 사용하고 상장 이전의 합성 가격은 배제한다.</w:t>
      </w:r>
    </w:p>
    <w:p w14:paraId="6D189E77" w14:textId="77777777" w:rsidR="00EA064B" w:rsidRDefault="00000000">
      <w:pPr>
        <w:ind w:firstLine="164"/>
      </w:pPr>
      <w:r>
        <w:t>시장 대표성을 위해 분석 기간 평균 거래대금</w:t>
      </w:r>
      <w:r>
        <w:t>·</w:t>
      </w:r>
      <w:r>
        <w:t>시가총액 기준 상위 5개 암호자산(BTC, ETH, XRP, SOL, DOGE)을 선정한다. 각 자산 i에 대해 김치프리미엄은 KP(</w:t>
      </w:r>
      <w:proofErr w:type="gramStart"/>
      <w:r>
        <w:t>i,t</w:t>
      </w:r>
      <w:proofErr w:type="gramEnd"/>
      <w:r>
        <w:t>) = P^KRW</w:t>
      </w:r>
      <w:r>
        <w:t>→</w:t>
      </w:r>
      <w:r>
        <w:t>USD(</w:t>
      </w:r>
      <w:proofErr w:type="gramStart"/>
      <w:r>
        <w:t>i,t) /</w:t>
      </w:r>
      <w:proofErr w:type="gramEnd"/>
      <w:r>
        <w:t xml:space="preserve"> P^USD(</w:t>
      </w:r>
      <w:proofErr w:type="gramStart"/>
      <w:r>
        <w:t>i,t</w:t>
      </w:r>
      <w:proofErr w:type="gramEnd"/>
      <w:r>
        <w:t xml:space="preserve">) </w:t>
      </w:r>
      <w:r>
        <w:t>−</w:t>
      </w:r>
      <w:r>
        <w:t xml:space="preserve"> 1 로 정의한다. 시장 대표 김치프리미엄 KP^</w:t>
      </w:r>
      <w:proofErr w:type="gramStart"/>
      <w:r>
        <w:t>MKT 는</w:t>
      </w:r>
      <w:proofErr w:type="gramEnd"/>
      <w:r>
        <w:t xml:space="preserve"> 세 가지 방식으로 구성한다: (정의 1) 동일가중 평균, (정의 2) 시가총액 가중 평균, (정의 3) 5개 자산 김치프리미엄의 제1주성분(PCA). 동일하게 USDT 김치프리미엄 KP^</w:t>
      </w:r>
      <w:proofErr w:type="gramStart"/>
      <w:r>
        <w:t>USDT 를</w:t>
      </w:r>
      <w:proofErr w:type="gramEnd"/>
      <w:r>
        <w:t xml:space="preserve"> 계산한다.</w:t>
      </w:r>
    </w:p>
    <w:p w14:paraId="64842BD9" w14:textId="77777777" w:rsidR="00EA064B" w:rsidRDefault="00000000">
      <w:pPr>
        <w:ind w:firstLine="164"/>
      </w:pPr>
      <w:r>
        <w:t>수요</w:t>
      </w:r>
      <w:r>
        <w:t>·</w:t>
      </w:r>
      <w:r>
        <w:t>마찰 채널 변수로는 바이낸스 선물의 계정 롱/숏 비율(account long/short ratio), 상위 트레이더 계정 롱/숏 비율, 미결제약정(open interest), 펀딩비, 테이커 매수/매도 비율을 사용한다. 거시</w:t>
      </w:r>
      <w:r>
        <w:t>·</w:t>
      </w:r>
      <w:r>
        <w:t>달러 통제변수로는 달러지수(DXY), 변동성지수(VIX), 원/달러 환율, 비트코인 실현변동성 및 하방위험 지표를 포함한다. &lt;표 1&gt;은 잔차의 기술통계를 정상(normal) 및 하락(downside) 국면으로 구분하여 제시한다. 하락 국면은 비트코인 하방위험 지표의 상위 10% 구간으로 정의한다.</w:t>
      </w:r>
    </w:p>
    <w:p w14:paraId="3D92FDF9" w14:textId="77777777" w:rsidR="00EA064B" w:rsidRDefault="00000000">
      <w:pPr>
        <w:pStyle w:val="aff1"/>
      </w:pPr>
      <w:r>
        <w:t>&lt;표 1&gt; 스테이블코인 잔차의 기술통계 (정상 vs 하락 국면)</w:t>
      </w:r>
    </w:p>
    <w:tbl>
      <w:tblPr>
        <w:tblStyle w:val="ad"/>
        <w:tblW w:w="0" w:type="auto"/>
        <w:jc w:val="center"/>
        <w:tblLook w:val="04A0" w:firstRow="1" w:lastRow="0" w:firstColumn="1" w:lastColumn="0" w:noHBand="0" w:noVBand="1"/>
      </w:tblPr>
      <w:tblGrid>
        <w:gridCol w:w="706"/>
        <w:gridCol w:w="786"/>
        <w:gridCol w:w="933"/>
        <w:gridCol w:w="933"/>
        <w:gridCol w:w="812"/>
      </w:tblGrid>
      <w:tr w:rsidR="00EA064B" w14:paraId="63F88EA9" w14:textId="77777777" w:rsidTr="00BF6710">
        <w:trPr>
          <w:jc w:val="center"/>
        </w:trPr>
        <w:tc>
          <w:tcPr>
            <w:tcW w:w="1667" w:type="dxa"/>
            <w:vAlign w:val="center"/>
          </w:tcPr>
          <w:p w14:paraId="4B2600A3" w14:textId="77777777" w:rsidR="00EA064B" w:rsidRDefault="00000000" w:rsidP="00BF6710">
            <w:pPr>
              <w:pStyle w:val="aff2"/>
              <w:jc w:val="center"/>
            </w:pPr>
            <w:r>
              <w:rPr>
                <w:b/>
                <w:sz w:val="16"/>
              </w:rPr>
              <w:t>구분</w:t>
            </w:r>
          </w:p>
        </w:tc>
        <w:tc>
          <w:tcPr>
            <w:tcW w:w="1667" w:type="dxa"/>
            <w:vAlign w:val="center"/>
          </w:tcPr>
          <w:p w14:paraId="0BF35C7D" w14:textId="77777777" w:rsidR="00EA064B" w:rsidRDefault="00000000" w:rsidP="00BF6710">
            <w:pPr>
              <w:pStyle w:val="aff2"/>
              <w:jc w:val="center"/>
            </w:pPr>
            <w:r>
              <w:rPr>
                <w:b/>
                <w:sz w:val="16"/>
              </w:rPr>
              <w:t>관측수</w:t>
            </w:r>
          </w:p>
        </w:tc>
        <w:tc>
          <w:tcPr>
            <w:tcW w:w="1667" w:type="dxa"/>
            <w:vAlign w:val="center"/>
          </w:tcPr>
          <w:p w14:paraId="122FD0C6" w14:textId="77777777" w:rsidR="00EA064B" w:rsidRDefault="00000000" w:rsidP="00BF6710">
            <w:pPr>
              <w:pStyle w:val="aff2"/>
              <w:jc w:val="center"/>
            </w:pPr>
            <w:r>
              <w:rPr>
                <w:b/>
                <w:sz w:val="16"/>
              </w:rPr>
              <w:t>평균</w:t>
            </w:r>
          </w:p>
        </w:tc>
        <w:tc>
          <w:tcPr>
            <w:tcW w:w="1667" w:type="dxa"/>
            <w:vAlign w:val="center"/>
          </w:tcPr>
          <w:p w14:paraId="4F68F998" w14:textId="77777777" w:rsidR="00EA064B" w:rsidRDefault="00000000" w:rsidP="00BF6710">
            <w:pPr>
              <w:pStyle w:val="aff2"/>
              <w:jc w:val="center"/>
            </w:pPr>
            <w:r>
              <w:rPr>
                <w:b/>
                <w:sz w:val="16"/>
              </w:rPr>
              <w:t>표준편차</w:t>
            </w:r>
          </w:p>
        </w:tc>
        <w:tc>
          <w:tcPr>
            <w:tcW w:w="1667" w:type="dxa"/>
            <w:vAlign w:val="center"/>
          </w:tcPr>
          <w:p w14:paraId="093C28DE" w14:textId="77777777" w:rsidR="00EA064B" w:rsidRDefault="00000000" w:rsidP="00BF6710">
            <w:pPr>
              <w:pStyle w:val="aff2"/>
              <w:jc w:val="center"/>
            </w:pPr>
            <w:r>
              <w:rPr>
                <w:b/>
                <w:sz w:val="16"/>
              </w:rPr>
              <w:t>왜도</w:t>
            </w:r>
          </w:p>
        </w:tc>
      </w:tr>
      <w:tr w:rsidR="00EA064B" w14:paraId="2D8B2956" w14:textId="77777777" w:rsidTr="00BF6710">
        <w:trPr>
          <w:jc w:val="center"/>
        </w:trPr>
        <w:tc>
          <w:tcPr>
            <w:tcW w:w="1667" w:type="dxa"/>
            <w:vAlign w:val="center"/>
          </w:tcPr>
          <w:p w14:paraId="5185C435" w14:textId="77777777" w:rsidR="00EA064B" w:rsidRDefault="00000000" w:rsidP="00BF6710">
            <w:pPr>
              <w:pStyle w:val="aff2"/>
              <w:jc w:val="center"/>
            </w:pPr>
            <w:r>
              <w:rPr>
                <w:sz w:val="16"/>
              </w:rPr>
              <w:t>정상</w:t>
            </w:r>
          </w:p>
        </w:tc>
        <w:tc>
          <w:tcPr>
            <w:tcW w:w="1667" w:type="dxa"/>
            <w:vAlign w:val="center"/>
          </w:tcPr>
          <w:p w14:paraId="13C504CA" w14:textId="77777777" w:rsidR="00EA064B" w:rsidRDefault="00000000" w:rsidP="00BF6710">
            <w:pPr>
              <w:pStyle w:val="aff2"/>
              <w:jc w:val="center"/>
            </w:pPr>
            <w:r>
              <w:rPr>
                <w:sz w:val="16"/>
              </w:rPr>
              <w:t>643</w:t>
            </w:r>
          </w:p>
        </w:tc>
        <w:tc>
          <w:tcPr>
            <w:tcW w:w="1667" w:type="dxa"/>
            <w:vAlign w:val="center"/>
          </w:tcPr>
          <w:p w14:paraId="08558391" w14:textId="77777777" w:rsidR="00EA064B" w:rsidRDefault="00000000" w:rsidP="00BF6710">
            <w:pPr>
              <w:pStyle w:val="aff2"/>
              <w:jc w:val="center"/>
            </w:pPr>
            <w:r>
              <w:rPr>
                <w:sz w:val="16"/>
              </w:rPr>
              <w:t>0.0001</w:t>
            </w:r>
          </w:p>
        </w:tc>
        <w:tc>
          <w:tcPr>
            <w:tcW w:w="1667" w:type="dxa"/>
            <w:vAlign w:val="center"/>
          </w:tcPr>
          <w:p w14:paraId="53A4FE68" w14:textId="77777777" w:rsidR="00EA064B" w:rsidRDefault="00000000" w:rsidP="00BF6710">
            <w:pPr>
              <w:pStyle w:val="aff2"/>
              <w:jc w:val="center"/>
            </w:pPr>
            <w:r>
              <w:rPr>
                <w:sz w:val="16"/>
              </w:rPr>
              <w:t>0.0009</w:t>
            </w:r>
          </w:p>
        </w:tc>
        <w:tc>
          <w:tcPr>
            <w:tcW w:w="1667" w:type="dxa"/>
            <w:vAlign w:val="center"/>
          </w:tcPr>
          <w:p w14:paraId="7BC0C67A" w14:textId="77777777" w:rsidR="00EA064B" w:rsidRDefault="00000000" w:rsidP="00BF6710">
            <w:pPr>
              <w:pStyle w:val="aff2"/>
              <w:jc w:val="center"/>
            </w:pPr>
            <w:r>
              <w:rPr>
                <w:sz w:val="16"/>
              </w:rPr>
              <w:t>-0.76</w:t>
            </w:r>
          </w:p>
        </w:tc>
      </w:tr>
      <w:tr w:rsidR="00EA064B" w14:paraId="0078630F" w14:textId="77777777" w:rsidTr="00BF6710">
        <w:trPr>
          <w:jc w:val="center"/>
        </w:trPr>
        <w:tc>
          <w:tcPr>
            <w:tcW w:w="1667" w:type="dxa"/>
            <w:vAlign w:val="center"/>
          </w:tcPr>
          <w:p w14:paraId="4EBD9B30" w14:textId="77777777" w:rsidR="00EA064B" w:rsidRDefault="00000000" w:rsidP="00BF6710">
            <w:pPr>
              <w:pStyle w:val="aff2"/>
              <w:jc w:val="center"/>
            </w:pPr>
            <w:r>
              <w:rPr>
                <w:sz w:val="16"/>
              </w:rPr>
              <w:t>하락</w:t>
            </w:r>
          </w:p>
        </w:tc>
        <w:tc>
          <w:tcPr>
            <w:tcW w:w="1667" w:type="dxa"/>
            <w:vAlign w:val="center"/>
          </w:tcPr>
          <w:p w14:paraId="5AF75D33" w14:textId="77777777" w:rsidR="00EA064B" w:rsidRDefault="00000000" w:rsidP="00BF6710">
            <w:pPr>
              <w:pStyle w:val="aff2"/>
              <w:jc w:val="center"/>
            </w:pPr>
            <w:r>
              <w:rPr>
                <w:sz w:val="16"/>
              </w:rPr>
              <w:t>72</w:t>
            </w:r>
          </w:p>
        </w:tc>
        <w:tc>
          <w:tcPr>
            <w:tcW w:w="1667" w:type="dxa"/>
            <w:vAlign w:val="center"/>
          </w:tcPr>
          <w:p w14:paraId="5EBF426B" w14:textId="77777777" w:rsidR="00EA064B" w:rsidRDefault="00000000" w:rsidP="00BF6710">
            <w:pPr>
              <w:pStyle w:val="aff2"/>
              <w:jc w:val="center"/>
            </w:pPr>
            <w:r>
              <w:rPr>
                <w:sz w:val="16"/>
              </w:rPr>
              <w:t>-0.0005</w:t>
            </w:r>
          </w:p>
        </w:tc>
        <w:tc>
          <w:tcPr>
            <w:tcW w:w="1667" w:type="dxa"/>
            <w:vAlign w:val="center"/>
          </w:tcPr>
          <w:p w14:paraId="6A63FB5B" w14:textId="77777777" w:rsidR="00EA064B" w:rsidRDefault="00000000" w:rsidP="00BF6710">
            <w:pPr>
              <w:pStyle w:val="aff2"/>
              <w:jc w:val="center"/>
            </w:pPr>
            <w:r>
              <w:rPr>
                <w:sz w:val="16"/>
              </w:rPr>
              <w:t>0.0011</w:t>
            </w:r>
          </w:p>
        </w:tc>
        <w:tc>
          <w:tcPr>
            <w:tcW w:w="1667" w:type="dxa"/>
            <w:vAlign w:val="center"/>
          </w:tcPr>
          <w:p w14:paraId="18AEAEE6" w14:textId="77777777" w:rsidR="00EA064B" w:rsidRDefault="00000000" w:rsidP="00BF6710">
            <w:pPr>
              <w:pStyle w:val="aff2"/>
              <w:jc w:val="center"/>
            </w:pPr>
            <w:r>
              <w:rPr>
                <w:sz w:val="16"/>
              </w:rPr>
              <w:t>-1.08</w:t>
            </w:r>
          </w:p>
        </w:tc>
      </w:tr>
    </w:tbl>
    <w:p w14:paraId="257CDE17" w14:textId="77777777" w:rsidR="00EA064B" w:rsidRDefault="00000000">
      <w:pPr>
        <w:ind w:firstLine="164"/>
      </w:pPr>
      <w:r>
        <w:t>하락 국면에서 잔차의 평균이 유의하게 낮으며(Welch t = -4.24), 왜도가 더 음(-)으로 나타나 잔차가 하방으로 비대칭적으로 확대됨을 시사한다.</w:t>
      </w:r>
    </w:p>
    <w:p w14:paraId="4260CF34" w14:textId="77777777" w:rsidR="00EA064B" w:rsidRDefault="00000000">
      <w:pPr>
        <w:pStyle w:val="10"/>
      </w:pPr>
      <w:r>
        <w:t>4. 연구방법</w:t>
      </w:r>
    </w:p>
    <w:p w14:paraId="16F9E1BC" w14:textId="77777777" w:rsidR="00EA064B" w:rsidRDefault="00000000">
      <w:pPr>
        <w:pStyle w:val="110"/>
      </w:pPr>
      <w:r>
        <w:t>4.1 잔차 식별</w:t>
      </w:r>
    </w:p>
    <w:p w14:paraId="0B55B162" w14:textId="77777777" w:rsidR="00EA064B" w:rsidRDefault="00000000">
      <w:pPr>
        <w:ind w:firstLine="164"/>
      </w:pPr>
      <w:r>
        <w:t xml:space="preserve">스테이블코인 고유 잔차는 두 단계의 회귀로 식별한다. 1단계에서 USDT 김치프리미엄을 시장 대표 김치프리미엄에 회귀하여 시장 공통 성분을 제거한다: KP^USDT(t) = </w:t>
      </w:r>
      <w:r>
        <w:t>α</w:t>
      </w:r>
      <w:r>
        <w:t xml:space="preserve"> + </w:t>
      </w:r>
      <w:r>
        <w:t>β·</w:t>
      </w:r>
      <w:r>
        <w:t xml:space="preserve">KP^MKT(t) + u(t). 2단계에서 1단계 잔차 u(t)를 글로벌 디펙 대리변수에 회귀하여 글로벌 공통 충격을 제거한다: u(t) = </w:t>
      </w:r>
      <w:r>
        <w:t>γ</w:t>
      </w:r>
      <w:r>
        <w:t xml:space="preserve"> + </w:t>
      </w:r>
      <w:r>
        <w:t>δ·</w:t>
      </w:r>
      <w:r>
        <w:t xml:space="preserve">DEPEG^GLOBAL(t) + </w:t>
      </w:r>
      <w:r>
        <w:t>ε</w:t>
      </w:r>
      <w:r>
        <w:t xml:space="preserve">(t). 최종 잔차 </w:t>
      </w:r>
      <w:r>
        <w:t>ε</w:t>
      </w:r>
      <w:r>
        <w:t>(t)를 분석 대상으로 삼는다. 모든 회귀는 이분산-자기상관에 강건한(HAC) 표준오차를 사용한다.</w:t>
      </w:r>
    </w:p>
    <w:p w14:paraId="7182A609" w14:textId="77777777" w:rsidR="00EA064B" w:rsidRDefault="00000000">
      <w:pPr>
        <w:pStyle w:val="110"/>
      </w:pPr>
      <w:r>
        <w:t>4.2 분위수 회귀와 블록 부트스트랩</w:t>
      </w:r>
    </w:p>
    <w:p w14:paraId="3C289245" w14:textId="77777777" w:rsidR="00EA064B" w:rsidRDefault="00000000">
      <w:pPr>
        <w:ind w:firstLine="164"/>
      </w:pPr>
      <w:r>
        <w:t>잔차의 평균 반응은 상승</w:t>
      </w:r>
      <w:r>
        <w:t>·</w:t>
      </w:r>
      <w:r>
        <w:t xml:space="preserve">하락 국면에서 상충되는 메커니즘으로 인해 상쇄될 수 있으므로, 본 연구는 조건부 분위수에서 반응을 추정한다(Koenker and Bassett, 1978). 설명변수는 직전 시점(lag 1) 값을 사용하여 동시성에 따른 해석 오류를 줄인다. 잔차는 강한 자기상관을 보이므로(Ljung-Box 검정 p </w:t>
      </w:r>
      <w:proofErr w:type="gramStart"/>
      <w:r>
        <w:t>&lt; 0.001</w:t>
      </w:r>
      <w:proofErr w:type="gramEnd"/>
      <w:r>
        <w:t>), 추론은 일(day) 단위 블록 부트스트랩으로 수행한다.</w:t>
      </w:r>
    </w:p>
    <w:p w14:paraId="7B80233A" w14:textId="77777777" w:rsidR="00EA064B" w:rsidRDefault="00000000">
      <w:pPr>
        <w:pStyle w:val="110"/>
      </w:pPr>
      <w:r>
        <w:t>4.3 로컬 프로젝션과 매개 분석</w:t>
      </w:r>
    </w:p>
    <w:p w14:paraId="7DD450D1" w14:textId="77777777" w:rsidR="00EA064B" w:rsidRDefault="00000000">
      <w:pPr>
        <w:ind w:firstLine="164"/>
      </w:pPr>
      <w:r>
        <w:t>충격의 지속성은 시계 h에 대한 로컬 프로젝션 분위수 회귀로 추정한다(Jord</w:t>
      </w:r>
      <w:r>
        <w:t>à</w:t>
      </w:r>
      <w:r>
        <w:t>, 2005). 또한 하단 꼬리 반응이 레버리지 포지셔닝을 통해 작동하는지를 검증하기 위해, 기본 모형에 채널 변수를 추가했을 때 하방충격 계수가 축소</w:t>
      </w:r>
      <w:r>
        <w:t>·</w:t>
      </w:r>
      <w:r>
        <w:t>비유의화되고 채널이 유의해지는지를 점검하는 매개 분석을 수행한다. 마지막으로 글로벌 변동성을 통제한 뒤에도 레버리지 채널이 증분으로 유의한지를 네스티드 모형(M0</w:t>
      </w:r>
      <w:r>
        <w:t>→</w:t>
      </w:r>
      <w:r>
        <w:t>M1</w:t>
      </w:r>
      <w:r>
        <w:t>→</w:t>
      </w:r>
      <w:r>
        <w:t>M2)으로 검정한다.</w:t>
      </w:r>
    </w:p>
    <w:p w14:paraId="552D5FBB" w14:textId="77777777" w:rsidR="00EA064B" w:rsidRDefault="00000000">
      <w:pPr>
        <w:pStyle w:val="10"/>
      </w:pPr>
      <w:r>
        <w:t>5. 실증결과</w:t>
      </w:r>
    </w:p>
    <w:p w14:paraId="48BE61E0" w14:textId="77777777" w:rsidR="00EA064B" w:rsidRDefault="00000000">
      <w:pPr>
        <w:pStyle w:val="110"/>
      </w:pPr>
      <w:r>
        <w:t>5.1 잔차의 존재와 분포</w:t>
      </w:r>
    </w:p>
    <w:p w14:paraId="27211B6D" w14:textId="229D5FF7" w:rsidR="00BF6710" w:rsidRDefault="00BF6710" w:rsidP="00BF6710">
      <w:pPr>
        <w:ind w:firstLine="180"/>
      </w:pPr>
      <w:r>
        <w:rPr>
          <w:noProof/>
        </w:rPr>
        <w:lastRenderedPageBreak/>
        <w:drawing>
          <wp:anchor distT="0" distB="0" distL="114300" distR="114300" simplePos="0" relativeHeight="251658752" behindDoc="0" locked="0" layoutInCell="1" allowOverlap="1" wp14:anchorId="417FBB7F" wp14:editId="078A2617">
            <wp:simplePos x="0" y="0"/>
            <wp:positionH relativeFrom="column">
              <wp:posOffset>2792730</wp:posOffset>
            </wp:positionH>
            <wp:positionV relativeFrom="page">
              <wp:posOffset>2668905</wp:posOffset>
            </wp:positionV>
            <wp:extent cx="2606040" cy="14211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ocalprojec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6040" cy="1421130"/>
                    </a:xfrm>
                    <a:prstGeom prst="rect">
                      <a:avLst/>
                    </a:prstGeom>
                  </pic:spPr>
                </pic:pic>
              </a:graphicData>
            </a:graphic>
          </wp:anchor>
        </w:drawing>
      </w:r>
      <w:r>
        <w:rPr>
          <w:noProof/>
        </w:rPr>
        <w:drawing>
          <wp:anchor distT="0" distB="0" distL="114300" distR="114300" simplePos="0" relativeHeight="251656704" behindDoc="0" locked="0" layoutInCell="1" allowOverlap="1" wp14:anchorId="486933E5" wp14:editId="05862D72">
            <wp:simplePos x="0" y="0"/>
            <wp:positionH relativeFrom="column">
              <wp:posOffset>1905</wp:posOffset>
            </wp:positionH>
            <wp:positionV relativeFrom="page">
              <wp:posOffset>3070449</wp:posOffset>
            </wp:positionV>
            <wp:extent cx="2510790" cy="10458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imeserie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0790" cy="1045845"/>
                    </a:xfrm>
                    <a:prstGeom prst="rect">
                      <a:avLst/>
                    </a:prstGeom>
                  </pic:spPr>
                </pic:pic>
              </a:graphicData>
            </a:graphic>
          </wp:anchor>
        </w:drawing>
      </w:r>
      <w:r w:rsidR="00000000">
        <w:t>1단계 회귀의 결정계수는 0.997로 USDT 프리미엄의 대부분이 시장 공통 김치프리미엄으로 설명되나, 통제 이후에도 통계적으로 유의한 잔차가 남는다. &lt;그림 1&gt;은 잔차의 시계열과 하락 국면(음영)을 보여준다. 잔차는 평상시에는 0 근처에서 움직이다가 특정 스트레스 구간에서 음의 방향으로 크게 확대된다.</w:t>
      </w:r>
    </w:p>
    <w:p w14:paraId="08AE170A" w14:textId="46936798" w:rsidR="00EA064B" w:rsidRDefault="00000000">
      <w:pPr>
        <w:pStyle w:val="aff1"/>
      </w:pPr>
      <w:r>
        <w:t xml:space="preserve">&lt;그림 1&gt; 한국 USDT </w:t>
      </w:r>
      <w:proofErr w:type="spellStart"/>
      <w:r>
        <w:t>잔차의</w:t>
      </w:r>
      <w:proofErr w:type="spellEnd"/>
      <w:r>
        <w:t xml:space="preserve"> 시계열 (음영: 하락 스트레스 구간)</w:t>
      </w:r>
    </w:p>
    <w:p w14:paraId="19B683EC" w14:textId="5137A61F" w:rsidR="00EA064B" w:rsidRDefault="00000000">
      <w:pPr>
        <w:pStyle w:val="110"/>
      </w:pPr>
      <w:r>
        <w:t>5.2 하단 꼬리 반응</w:t>
      </w:r>
    </w:p>
    <w:p w14:paraId="09EFAB70" w14:textId="77777777" w:rsidR="00EA064B" w:rsidRDefault="00000000">
      <w:pPr>
        <w:ind w:firstLine="164"/>
      </w:pPr>
      <w:r>
        <w:t>&lt;표 2&gt;는 잔차의 조건부 분위수별 하방충격 계수를 제시한다. 계수는 모든 분위수에서 음(-)이며, 중</w:t>
      </w:r>
      <w:r>
        <w:t>·</w:t>
      </w:r>
      <w:r>
        <w:t>하단 분위수에서 통계적으로 유의하다. 이는 잔차가 암호자산 급락에 대해 하방으로 비대칭적으로 반응함을 의미한다.</w:t>
      </w:r>
    </w:p>
    <w:p w14:paraId="4A908BBA" w14:textId="0727DA68" w:rsidR="00EA064B" w:rsidRDefault="00BF6710">
      <w:pPr>
        <w:pStyle w:val="aff1"/>
      </w:pPr>
      <w:r>
        <w:rPr>
          <w:noProof/>
        </w:rPr>
        <w:drawing>
          <wp:anchor distT="0" distB="0" distL="114300" distR="114300" simplePos="0" relativeHeight="251660800" behindDoc="0" locked="0" layoutInCell="1" allowOverlap="1" wp14:anchorId="6E63B110" wp14:editId="6F575C8B">
            <wp:simplePos x="0" y="0"/>
            <wp:positionH relativeFrom="column">
              <wp:posOffset>2793053</wp:posOffset>
            </wp:positionH>
            <wp:positionV relativeFrom="page">
              <wp:posOffset>6828929</wp:posOffset>
            </wp:positionV>
            <wp:extent cx="2606040" cy="163766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ediati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06040" cy="1637665"/>
                    </a:xfrm>
                    <a:prstGeom prst="rect">
                      <a:avLst/>
                    </a:prstGeom>
                  </pic:spPr>
                </pic:pic>
              </a:graphicData>
            </a:graphic>
          </wp:anchor>
        </w:drawing>
      </w:r>
      <w:r w:rsidR="00000000">
        <w:t>&lt;표 2&gt; 분위수별 하방충격(BTC downside) 계수</w:t>
      </w:r>
    </w:p>
    <w:tbl>
      <w:tblPr>
        <w:tblStyle w:val="ad"/>
        <w:tblW w:w="0" w:type="auto"/>
        <w:jc w:val="center"/>
        <w:tblLook w:val="04A0" w:firstRow="1" w:lastRow="0" w:firstColumn="1" w:lastColumn="0" w:noHBand="0" w:noVBand="1"/>
      </w:tblPr>
      <w:tblGrid>
        <w:gridCol w:w="1373"/>
        <w:gridCol w:w="1424"/>
        <w:gridCol w:w="1373"/>
      </w:tblGrid>
      <w:tr w:rsidR="00EA064B" w14:paraId="43A39420" w14:textId="77777777" w:rsidTr="00BF6710">
        <w:trPr>
          <w:jc w:val="center"/>
        </w:trPr>
        <w:tc>
          <w:tcPr>
            <w:tcW w:w="2778" w:type="dxa"/>
            <w:vAlign w:val="center"/>
          </w:tcPr>
          <w:p w14:paraId="264D4693" w14:textId="77777777" w:rsidR="00EA064B" w:rsidRDefault="00000000" w:rsidP="00BF6710">
            <w:pPr>
              <w:pStyle w:val="aff2"/>
              <w:jc w:val="center"/>
            </w:pPr>
            <w:r>
              <w:rPr>
                <w:b/>
                <w:sz w:val="16"/>
              </w:rPr>
              <w:t>분위수</w:t>
            </w:r>
          </w:p>
        </w:tc>
        <w:tc>
          <w:tcPr>
            <w:tcW w:w="2778" w:type="dxa"/>
            <w:vAlign w:val="center"/>
          </w:tcPr>
          <w:p w14:paraId="7D992D5F" w14:textId="77777777" w:rsidR="00EA064B" w:rsidRDefault="00000000" w:rsidP="00BF6710">
            <w:pPr>
              <w:pStyle w:val="aff2"/>
              <w:jc w:val="center"/>
            </w:pPr>
            <w:r>
              <w:rPr>
                <w:b/>
                <w:sz w:val="16"/>
              </w:rPr>
              <w:t>계수</w:t>
            </w:r>
          </w:p>
        </w:tc>
        <w:tc>
          <w:tcPr>
            <w:tcW w:w="2778" w:type="dxa"/>
            <w:vAlign w:val="center"/>
          </w:tcPr>
          <w:p w14:paraId="786E89A6" w14:textId="77777777" w:rsidR="00EA064B" w:rsidRDefault="00000000" w:rsidP="00BF6710">
            <w:pPr>
              <w:pStyle w:val="aff2"/>
              <w:jc w:val="center"/>
            </w:pPr>
            <w:r>
              <w:rPr>
                <w:b/>
                <w:sz w:val="16"/>
              </w:rPr>
              <w:t>p-값</w:t>
            </w:r>
          </w:p>
        </w:tc>
      </w:tr>
      <w:tr w:rsidR="00EA064B" w14:paraId="53549E2B" w14:textId="77777777" w:rsidTr="00BF6710">
        <w:trPr>
          <w:jc w:val="center"/>
        </w:trPr>
        <w:tc>
          <w:tcPr>
            <w:tcW w:w="2778" w:type="dxa"/>
            <w:vAlign w:val="center"/>
          </w:tcPr>
          <w:p w14:paraId="75765BF9" w14:textId="77777777" w:rsidR="00EA064B" w:rsidRDefault="00000000" w:rsidP="00BF6710">
            <w:pPr>
              <w:pStyle w:val="aff2"/>
              <w:jc w:val="center"/>
            </w:pPr>
            <w:r>
              <w:rPr>
                <w:sz w:val="16"/>
              </w:rPr>
              <w:t>0.10</w:t>
            </w:r>
          </w:p>
        </w:tc>
        <w:tc>
          <w:tcPr>
            <w:tcW w:w="2778" w:type="dxa"/>
            <w:vAlign w:val="center"/>
          </w:tcPr>
          <w:p w14:paraId="58B3632E" w14:textId="77777777" w:rsidR="00EA064B" w:rsidRDefault="00000000" w:rsidP="00BF6710">
            <w:pPr>
              <w:pStyle w:val="aff2"/>
              <w:jc w:val="center"/>
            </w:pPr>
            <w:r>
              <w:rPr>
                <w:sz w:val="16"/>
              </w:rPr>
              <w:t>-6.78</w:t>
            </w:r>
          </w:p>
        </w:tc>
        <w:tc>
          <w:tcPr>
            <w:tcW w:w="2778" w:type="dxa"/>
            <w:vAlign w:val="center"/>
          </w:tcPr>
          <w:p w14:paraId="74F0C223" w14:textId="77777777" w:rsidR="00EA064B" w:rsidRDefault="00000000" w:rsidP="00BF6710">
            <w:pPr>
              <w:pStyle w:val="aff2"/>
              <w:jc w:val="center"/>
            </w:pPr>
            <w:r>
              <w:rPr>
                <w:sz w:val="16"/>
              </w:rPr>
              <w:t>0.00</w:t>
            </w:r>
          </w:p>
        </w:tc>
      </w:tr>
      <w:tr w:rsidR="00EA064B" w14:paraId="2217DCF9" w14:textId="77777777" w:rsidTr="00BF6710">
        <w:trPr>
          <w:jc w:val="center"/>
        </w:trPr>
        <w:tc>
          <w:tcPr>
            <w:tcW w:w="2778" w:type="dxa"/>
            <w:vAlign w:val="center"/>
          </w:tcPr>
          <w:p w14:paraId="7044AF5C" w14:textId="77777777" w:rsidR="00EA064B" w:rsidRDefault="00000000" w:rsidP="00BF6710">
            <w:pPr>
              <w:pStyle w:val="aff2"/>
              <w:jc w:val="center"/>
            </w:pPr>
            <w:r>
              <w:rPr>
                <w:sz w:val="16"/>
              </w:rPr>
              <w:t>0.25</w:t>
            </w:r>
          </w:p>
        </w:tc>
        <w:tc>
          <w:tcPr>
            <w:tcW w:w="2778" w:type="dxa"/>
            <w:vAlign w:val="center"/>
          </w:tcPr>
          <w:p w14:paraId="1608512A" w14:textId="77777777" w:rsidR="00EA064B" w:rsidRDefault="00000000" w:rsidP="00BF6710">
            <w:pPr>
              <w:pStyle w:val="aff2"/>
              <w:jc w:val="center"/>
            </w:pPr>
            <w:r>
              <w:rPr>
                <w:sz w:val="16"/>
              </w:rPr>
              <w:t>-11.45</w:t>
            </w:r>
          </w:p>
        </w:tc>
        <w:tc>
          <w:tcPr>
            <w:tcW w:w="2778" w:type="dxa"/>
            <w:vAlign w:val="center"/>
          </w:tcPr>
          <w:p w14:paraId="581E6BBB" w14:textId="77777777" w:rsidR="00EA064B" w:rsidRDefault="00000000" w:rsidP="00BF6710">
            <w:pPr>
              <w:pStyle w:val="aff2"/>
              <w:jc w:val="center"/>
            </w:pPr>
            <w:r>
              <w:rPr>
                <w:sz w:val="16"/>
              </w:rPr>
              <w:t>0.00</w:t>
            </w:r>
          </w:p>
        </w:tc>
      </w:tr>
      <w:tr w:rsidR="00EA064B" w14:paraId="3E6BC220" w14:textId="77777777" w:rsidTr="00BF6710">
        <w:trPr>
          <w:jc w:val="center"/>
        </w:trPr>
        <w:tc>
          <w:tcPr>
            <w:tcW w:w="2778" w:type="dxa"/>
            <w:vAlign w:val="center"/>
          </w:tcPr>
          <w:p w14:paraId="0884EF7D" w14:textId="77777777" w:rsidR="00EA064B" w:rsidRDefault="00000000" w:rsidP="00BF6710">
            <w:pPr>
              <w:pStyle w:val="aff2"/>
              <w:jc w:val="center"/>
            </w:pPr>
            <w:r>
              <w:rPr>
                <w:sz w:val="16"/>
              </w:rPr>
              <w:t>0.50</w:t>
            </w:r>
          </w:p>
        </w:tc>
        <w:tc>
          <w:tcPr>
            <w:tcW w:w="2778" w:type="dxa"/>
            <w:vAlign w:val="center"/>
          </w:tcPr>
          <w:p w14:paraId="6EE43645" w14:textId="77777777" w:rsidR="00EA064B" w:rsidRDefault="00000000" w:rsidP="00BF6710">
            <w:pPr>
              <w:pStyle w:val="aff2"/>
              <w:jc w:val="center"/>
            </w:pPr>
            <w:r>
              <w:rPr>
                <w:sz w:val="16"/>
              </w:rPr>
              <w:t>-9.28</w:t>
            </w:r>
          </w:p>
        </w:tc>
        <w:tc>
          <w:tcPr>
            <w:tcW w:w="2778" w:type="dxa"/>
            <w:vAlign w:val="center"/>
          </w:tcPr>
          <w:p w14:paraId="4402E72F" w14:textId="77777777" w:rsidR="00EA064B" w:rsidRDefault="00000000" w:rsidP="00BF6710">
            <w:pPr>
              <w:pStyle w:val="aff2"/>
              <w:jc w:val="center"/>
            </w:pPr>
            <w:r>
              <w:rPr>
                <w:sz w:val="16"/>
              </w:rPr>
              <w:t>0.01</w:t>
            </w:r>
          </w:p>
        </w:tc>
      </w:tr>
      <w:tr w:rsidR="00EA064B" w14:paraId="15A566D8" w14:textId="77777777" w:rsidTr="00BF6710">
        <w:trPr>
          <w:jc w:val="center"/>
        </w:trPr>
        <w:tc>
          <w:tcPr>
            <w:tcW w:w="2778" w:type="dxa"/>
            <w:vAlign w:val="center"/>
          </w:tcPr>
          <w:p w14:paraId="47032D7A" w14:textId="77777777" w:rsidR="00EA064B" w:rsidRDefault="00000000" w:rsidP="00BF6710">
            <w:pPr>
              <w:pStyle w:val="aff2"/>
              <w:jc w:val="center"/>
            </w:pPr>
            <w:r>
              <w:rPr>
                <w:sz w:val="16"/>
              </w:rPr>
              <w:t>0.75</w:t>
            </w:r>
          </w:p>
        </w:tc>
        <w:tc>
          <w:tcPr>
            <w:tcW w:w="2778" w:type="dxa"/>
            <w:vAlign w:val="center"/>
          </w:tcPr>
          <w:p w14:paraId="5FF471B7" w14:textId="77777777" w:rsidR="00EA064B" w:rsidRDefault="00000000" w:rsidP="00BF6710">
            <w:pPr>
              <w:pStyle w:val="aff2"/>
              <w:jc w:val="center"/>
            </w:pPr>
            <w:r>
              <w:rPr>
                <w:sz w:val="16"/>
              </w:rPr>
              <w:t>-5.53</w:t>
            </w:r>
          </w:p>
        </w:tc>
        <w:tc>
          <w:tcPr>
            <w:tcW w:w="2778" w:type="dxa"/>
            <w:vAlign w:val="center"/>
          </w:tcPr>
          <w:p w14:paraId="3FBB75DD" w14:textId="77777777" w:rsidR="00EA064B" w:rsidRDefault="00000000" w:rsidP="00BF6710">
            <w:pPr>
              <w:pStyle w:val="aff2"/>
              <w:jc w:val="center"/>
            </w:pPr>
            <w:r>
              <w:rPr>
                <w:sz w:val="16"/>
              </w:rPr>
              <w:t>0.07</w:t>
            </w:r>
          </w:p>
        </w:tc>
      </w:tr>
      <w:tr w:rsidR="00EA064B" w14:paraId="42DACBCA" w14:textId="77777777" w:rsidTr="00BF6710">
        <w:trPr>
          <w:jc w:val="center"/>
        </w:trPr>
        <w:tc>
          <w:tcPr>
            <w:tcW w:w="2778" w:type="dxa"/>
            <w:vAlign w:val="center"/>
          </w:tcPr>
          <w:p w14:paraId="056731DB" w14:textId="77777777" w:rsidR="00EA064B" w:rsidRDefault="00000000" w:rsidP="00BF6710">
            <w:pPr>
              <w:pStyle w:val="aff2"/>
              <w:jc w:val="center"/>
            </w:pPr>
            <w:r>
              <w:rPr>
                <w:sz w:val="16"/>
              </w:rPr>
              <w:t>0.90</w:t>
            </w:r>
          </w:p>
        </w:tc>
        <w:tc>
          <w:tcPr>
            <w:tcW w:w="2778" w:type="dxa"/>
            <w:vAlign w:val="center"/>
          </w:tcPr>
          <w:p w14:paraId="62F059AD" w14:textId="77777777" w:rsidR="00EA064B" w:rsidRDefault="00000000" w:rsidP="00BF6710">
            <w:pPr>
              <w:pStyle w:val="aff2"/>
              <w:jc w:val="center"/>
            </w:pPr>
            <w:r>
              <w:rPr>
                <w:sz w:val="16"/>
              </w:rPr>
              <w:t>-4.25</w:t>
            </w:r>
          </w:p>
        </w:tc>
        <w:tc>
          <w:tcPr>
            <w:tcW w:w="2778" w:type="dxa"/>
            <w:vAlign w:val="center"/>
          </w:tcPr>
          <w:p w14:paraId="39AD27C0" w14:textId="77777777" w:rsidR="00EA064B" w:rsidRDefault="00000000" w:rsidP="00BF6710">
            <w:pPr>
              <w:pStyle w:val="aff2"/>
              <w:jc w:val="center"/>
            </w:pPr>
            <w:r>
              <w:rPr>
                <w:sz w:val="16"/>
              </w:rPr>
              <w:t>0.05</w:t>
            </w:r>
          </w:p>
        </w:tc>
      </w:tr>
    </w:tbl>
    <w:p w14:paraId="5EC8D275" w14:textId="77777777" w:rsidR="00EA064B" w:rsidRDefault="00000000">
      <w:pPr>
        <w:pStyle w:val="110"/>
      </w:pPr>
      <w:r>
        <w:t>5.3 지속성과 그 매개</w:t>
      </w:r>
    </w:p>
    <w:p w14:paraId="593EB6AF" w14:textId="77777777" w:rsidR="00EA064B" w:rsidRDefault="00000000">
      <w:pPr>
        <w:ind w:firstLine="164"/>
      </w:pPr>
      <w:r>
        <w:t>&lt;그림 3&gt;은 로컬 프로젝션 결과로, 하단 꼬리(q=0.10)에서 하방충격에 대한 잔차 반응이 6~12시간에 걸쳐 증폭되는 반면 중앙값과 상단 꼬리에서는 빠르게 소멸함을 보인다. 더 나아가 각 시계의 회귀에 계정 롱/숏 비율을 추가하면 모든 시계에서 하방</w:t>
      </w:r>
      <w:r>
        <w:t xml:space="preserve">충격 계수가 통계적 유의성을 상실하고 크기가 48~96% 축소되며 채널 변수는 강하게 유의하다(p </w:t>
      </w:r>
      <w:proofErr w:type="gramStart"/>
      <w:r>
        <w:t>&lt; 0.001</w:t>
      </w:r>
      <w:proofErr w:type="gramEnd"/>
      <w:r>
        <w:t>). 즉 잔차의 하단 꼬리 반응이 시간에 걸쳐 지속되는 현상은 디레버리징 포지셔닝이 수 시간에 걸쳐 해소되는 과정으로 설명된다.</w:t>
      </w:r>
    </w:p>
    <w:p w14:paraId="6CE3EAE0" w14:textId="77777777" w:rsidR="00EA064B" w:rsidRDefault="00000000">
      <w:pPr>
        <w:pStyle w:val="aff1"/>
      </w:pPr>
      <w:r>
        <w:t>&lt;그림 3&gt; 로컬 프로젝션: 하단 꼬리 반응의 시간적 증폭</w:t>
      </w:r>
    </w:p>
    <w:p w14:paraId="7EB6954C" w14:textId="77777777" w:rsidR="00EA064B" w:rsidRDefault="00000000">
      <w:pPr>
        <w:pStyle w:val="110"/>
      </w:pPr>
      <w:r>
        <w:t>5.4 레버리지 포지셔닝 채널</w:t>
      </w:r>
    </w:p>
    <w:p w14:paraId="3D8A839D" w14:textId="723C733F" w:rsidR="00EA064B" w:rsidRDefault="00000000">
      <w:pPr>
        <w:ind w:firstLine="164"/>
      </w:pPr>
      <w:r>
        <w:t>&lt;그림 4&gt;는 하단 꼬리(q=0.10)에서 후보 채널을 하나씩 추가했을 때 하방충격 계수의 변화를 보여준다. 거래량</w:t>
      </w:r>
      <w:r>
        <w:t>·</w:t>
      </w:r>
      <w:r>
        <w:t>미결제약정 등 대부분의 변수는 하방충격 계수를 흡수하지 못하는 반면, 계정 롱/숏 비율(ACCOUNT_LS) 및 상위 트레이더 계정 롱/숏 비율(TOPTRADER_ACCOUNT_LS)을 통제할 때에만 하방충격 계수가 0 부근으로 축소되고 채널이 유의해진다. 이는 잔차의 하단 꼬리 반응이 레버리지 포지셔닝을 통해 작동함을 시사한다.</w:t>
      </w:r>
    </w:p>
    <w:p w14:paraId="2E70A5CF" w14:textId="77777777" w:rsidR="00EA064B" w:rsidRDefault="00000000">
      <w:pPr>
        <w:pStyle w:val="aff1"/>
      </w:pPr>
      <w:r>
        <w:t>&lt;그림 4&gt; 수요 채널별 매개 효과 (q=0.10, 표준화 계수)</w:t>
      </w:r>
    </w:p>
    <w:p w14:paraId="3295BA4F" w14:textId="77777777" w:rsidR="00EA064B" w:rsidRDefault="00000000">
      <w:pPr>
        <w:pStyle w:val="110"/>
      </w:pPr>
      <w:r>
        <w:lastRenderedPageBreak/>
        <w:t>5.5 결정적 강건성: 글로벌 통제 후 생존</w:t>
      </w:r>
    </w:p>
    <w:p w14:paraId="351946CF" w14:textId="3A145B30" w:rsidR="00EA064B" w:rsidRDefault="00BF6710">
      <w:pPr>
        <w:ind w:firstLine="180"/>
      </w:pPr>
      <w:r>
        <w:rPr>
          <w:noProof/>
        </w:rPr>
        <w:drawing>
          <wp:anchor distT="0" distB="0" distL="114300" distR="114300" simplePos="0" relativeHeight="251662848" behindDoc="0" locked="0" layoutInCell="1" allowOverlap="1" wp14:anchorId="0A471A09" wp14:editId="39FB0E10">
            <wp:simplePos x="0" y="0"/>
            <wp:positionH relativeFrom="column">
              <wp:posOffset>2034</wp:posOffset>
            </wp:positionH>
            <wp:positionV relativeFrom="paragraph">
              <wp:posOffset>1834673</wp:posOffset>
            </wp:positionV>
            <wp:extent cx="2606040" cy="1421476"/>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ecisiv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06040" cy="1421476"/>
                    </a:xfrm>
                    <a:prstGeom prst="rect">
                      <a:avLst/>
                    </a:prstGeom>
                  </pic:spPr>
                </pic:pic>
              </a:graphicData>
            </a:graphic>
          </wp:anchor>
        </w:drawing>
      </w:r>
      <w:r w:rsidR="00000000">
        <w:t>&lt;그림 5&gt;는 글로벌 암호자산 상태(</w:t>
      </w:r>
      <w:proofErr w:type="spellStart"/>
      <w:r w:rsidR="00000000">
        <w:t>비트코인</w:t>
      </w:r>
      <w:proofErr w:type="spellEnd"/>
      <w:r w:rsidR="00000000">
        <w:t xml:space="preserve"> 변동성</w:t>
      </w:r>
      <w:r w:rsidR="00000000">
        <w:t>·</w:t>
      </w:r>
      <w:r w:rsidR="00000000">
        <w:t>수익률</w:t>
      </w:r>
      <w:r w:rsidR="00000000">
        <w:t>·</w:t>
      </w:r>
      <w:r w:rsidR="00000000">
        <w:t xml:space="preserve">VIX)를 통제한 네스티드 모형의 결과이다. 글로벌 변동성을 추가하면(M1) 하방충격 계수는 통계적 유의성을 상실하고 비트코인 변동성이 그 신호를 흡수한다. 그러나 레버리지 포지셔닝(M2)은 글로벌 변동성을 통제한 뒤에도 하단 꼬리에서 유의한 음의 계수를 유지한다(q=0.10에서 p </w:t>
      </w:r>
      <w:r w:rsidR="00000000">
        <w:t>≈</w:t>
      </w:r>
      <w:r w:rsidR="00000000">
        <w:t xml:space="preserve"> 0.01). 이는 레버리지 채널이 단순한 변동성의 대리물이 아니라 독립적인 설명력을 가짐을 의미한다.</w:t>
      </w:r>
    </w:p>
    <w:p w14:paraId="116D40FF" w14:textId="77777777" w:rsidR="00EA064B" w:rsidRDefault="00000000">
      <w:pPr>
        <w:pStyle w:val="aff1"/>
      </w:pPr>
      <w:r>
        <w:t>&lt;그림 5&gt; 글로벌 통제 후 레버리지 채널의 증분 생존 (q=0.10)</w:t>
      </w:r>
    </w:p>
    <w:p w14:paraId="276333DB" w14:textId="77777777" w:rsidR="00EA064B" w:rsidRDefault="00000000">
      <w:pPr>
        <w:pStyle w:val="110"/>
      </w:pPr>
      <w:r>
        <w:t>5.6 강건성 분석</w:t>
      </w:r>
    </w:p>
    <w:p w14:paraId="23C91B66" w14:textId="77777777" w:rsidR="00EA064B" w:rsidRDefault="00000000">
      <w:pPr>
        <w:ind w:firstLine="164"/>
      </w:pPr>
      <w:r>
        <w:t>핵심 결과는 시장 대표 김치프리미엄의 정의에 강건하다. 동일가중</w:t>
      </w:r>
      <w:r>
        <w:t>·</w:t>
      </w:r>
      <w:r>
        <w:t>시가총액가중</w:t>
      </w:r>
      <w:r>
        <w:t>·</w:t>
      </w:r>
      <w:r>
        <w:t xml:space="preserve">주성분(PCA) 세 정의 모두에서 잔차의 하방충격 반응은 음(-)으로 일관되며, 레버리지 채널의 글로벌 통제 후 생존은 세 정의 모두에서 유의하다(p </w:t>
      </w:r>
      <w:proofErr w:type="gramStart"/>
      <w:r>
        <w:t>&lt; 0.001</w:t>
      </w:r>
      <w:proofErr w:type="gramEnd"/>
      <w:r>
        <w:t>). 특히 제1주성분이 5개 자산 김치프리미엄 분산의 99.6%를 설명하여, 한국 김치프리미엄이 강한 단일 공통요인임을 확인한다. 또한 표본 내 최대 스트레스 1일 및 5일을 제거해도 결과가 유지되어 단일 사건에 의존하지 않음을 보인다. 다만 표본을 전</w:t>
      </w:r>
      <w:r>
        <w:t>·</w:t>
      </w:r>
      <w:r>
        <w:t>후반으로 분할하면 각 부분기간에서 유의성이 확보되지 않는데, 이는 약 10개월의 짧은 표본에 따른 검정력 한계로 해석되며 부분기간 안정성은 본 연구에서 확립되지 못한다.</w:t>
      </w:r>
    </w:p>
    <w:p w14:paraId="752CCC6D" w14:textId="77777777" w:rsidR="00EA064B" w:rsidRDefault="00000000">
      <w:pPr>
        <w:pStyle w:val="10"/>
      </w:pPr>
      <w:r>
        <w:t>6. 결론 및 논의</w:t>
      </w:r>
    </w:p>
    <w:p w14:paraId="52AB7086" w14:textId="77777777" w:rsidR="00EA064B" w:rsidRDefault="00000000">
      <w:pPr>
        <w:ind w:firstLine="164"/>
      </w:pPr>
      <w:r>
        <w:t>본 연구는 한국 USDT 프리미엄에서 시장 공통 김치프리미엄과 글로벌 디펙 성분을 단계적으로 제거한 뒤에도 통계적으로 유의한 스테이블코인 고유 잔차가 존재하며, 그 잔차가 암호자산 급락에 대해 하단 꼬리에서 비대칭적으로 확대되고 6~12시간에 걸쳐 지속됨을 보였다. 핵심적으로 이러한 하단 꼬리 반응과 그 지속성은 암호자산 파생상품의 레버리지 포지셔닝을 통해 매개되며, 이 채널은 글로벌 변동성을 통제한 뒤에도, 그리고 김치프리미엄 정의를 바꾸어도 견고하게 유지된다.</w:t>
      </w:r>
    </w:p>
    <w:p w14:paraId="1608B97F" w14:textId="77777777" w:rsidR="00EA064B" w:rsidRDefault="00000000">
      <w:pPr>
        <w:ind w:firstLine="164"/>
      </w:pPr>
      <w:r>
        <w:t>이 결과는 한국 USDT 시장의 가격 형성이 단순한 글로벌 가격 전달을 넘어 추가적인 구조를 내포함을 시사한다. 구체적으로 잔차의 꼬리 동학은 글로벌 암호자산 레버리지 사이클이 디레버리징 수요를 통해 한국 스테이블코인 프리미엄의 꼬리로 전이되는 경로로 해석할 수 있다.</w:t>
      </w:r>
    </w:p>
    <w:p w14:paraId="67C0F76E" w14:textId="77777777" w:rsidR="00EA064B" w:rsidRDefault="00000000">
      <w:pPr>
        <w:ind w:firstLine="164"/>
      </w:pPr>
      <w:r>
        <w:t>본 연구는 다음과 같은 한계를 갖는다. 첫째, 약 10개월의 짧은 표본으로 인해 부분기간 안정성을 확립하지 못하였다. 둘째, 매개 변수인 레버리지 포지셔닝이 글로벌 선물시장 지표이므로 잔차의 한국 고유성을 단정하기 어렵다. 셋째, 하방충격 효과가 대칭적 변동성과 명확히 구분되지 않는다. 넷째, 본 연구는 원화 시장의 지배적 스테이블코인인 USDT에 한정하였으며, USDC로의 확장은 그 얇은 원화 유동성으로 인해 후속 과제로 남긴다. 향후 표본 확장과 비(非)한국 시장과의 비교를 통해 한국 고유성을 보다 엄밀히 검증할 필요가 있다.</w:t>
      </w:r>
    </w:p>
    <w:p w14:paraId="70E11CF0" w14:textId="77777777" w:rsidR="00EA064B" w:rsidRDefault="00000000">
      <w:pPr>
        <w:pStyle w:val="10"/>
      </w:pPr>
      <w:r>
        <w:t>참 고 문 헌</w:t>
      </w:r>
    </w:p>
    <w:p w14:paraId="07200533" w14:textId="77777777" w:rsidR="00EA064B" w:rsidRDefault="00000000">
      <w:pPr>
        <w:pStyle w:val="aff0"/>
      </w:pPr>
      <w:r>
        <w:t xml:space="preserve">[1] Aldasoro, I., G. Cornelli, M. Ferrari Minesso, L. Gambacorta, and M. M. Habib (2024), </w:t>
      </w:r>
      <w:r>
        <w:t>“</w:t>
      </w:r>
      <w:r>
        <w:t>Stablecoins, Money Market Funds and Monetary Policy,</w:t>
      </w:r>
      <w:r>
        <w:t>”</w:t>
      </w:r>
      <w:r>
        <w:t xml:space="preserve"> BIS Working Papers, No. 1219.</w:t>
      </w:r>
    </w:p>
    <w:p w14:paraId="7274191E" w14:textId="77777777" w:rsidR="00EA064B" w:rsidRDefault="00000000">
      <w:pPr>
        <w:pStyle w:val="aff0"/>
      </w:pPr>
      <w:r>
        <w:lastRenderedPageBreak/>
        <w:t xml:space="preserve">[2] Choi, K. J., A. Lehar, and R. Stauffer (2022), </w:t>
      </w:r>
      <w:r>
        <w:t>“</w:t>
      </w:r>
      <w:r>
        <w:t>Bitcoin Microstructure and the Kimchi Premium,</w:t>
      </w:r>
      <w:r>
        <w:t>”</w:t>
      </w:r>
      <w:r>
        <w:t xml:space="preserve"> SSRN Working Paper.</w:t>
      </w:r>
    </w:p>
    <w:p w14:paraId="6AF47873" w14:textId="77777777" w:rsidR="00EA064B" w:rsidRDefault="00000000">
      <w:pPr>
        <w:pStyle w:val="aff0"/>
      </w:pPr>
      <w:r>
        <w:t xml:space="preserve">[3] Gorton, G. B., E. C. Klee, C. P. Ross, S. Y. Ross, and A. P. Vardoulakis (2025), </w:t>
      </w:r>
      <w:r>
        <w:t>“</w:t>
      </w:r>
      <w:r>
        <w:t>Leverage and Stablecoin Pegs,</w:t>
      </w:r>
      <w:r>
        <w:t>”</w:t>
      </w:r>
      <w:r>
        <w:t xml:space="preserve"> Journal of Financial and Quantitative Analysis, forthcoming.</w:t>
      </w:r>
    </w:p>
    <w:p w14:paraId="3FBDCAFD" w14:textId="77777777" w:rsidR="00EA064B" w:rsidRDefault="00000000">
      <w:pPr>
        <w:pStyle w:val="aff0"/>
      </w:pPr>
      <w:r>
        <w:t>[4] Jord</w:t>
      </w:r>
      <w:r>
        <w:t>à</w:t>
      </w:r>
      <w:r>
        <w:t xml:space="preserve">, </w:t>
      </w:r>
      <w:r>
        <w:t>Ò</w:t>
      </w:r>
      <w:r>
        <w:t xml:space="preserve">. (2005), </w:t>
      </w:r>
      <w:r>
        <w:t>“</w:t>
      </w:r>
      <w:r>
        <w:t>Estimation and Inference of Impulse Responses by Local Projections,</w:t>
      </w:r>
      <w:r>
        <w:t>”</w:t>
      </w:r>
      <w:r>
        <w:t xml:space="preserve"> American Economic Review, 95(1), 161-182.</w:t>
      </w:r>
    </w:p>
    <w:p w14:paraId="6F212572" w14:textId="77777777" w:rsidR="00EA064B" w:rsidRDefault="00000000">
      <w:pPr>
        <w:pStyle w:val="aff0"/>
      </w:pPr>
      <w:r>
        <w:t xml:space="preserve">[5] Koenker, R., and G. Bassett (1978), </w:t>
      </w:r>
      <w:r>
        <w:t>“</w:t>
      </w:r>
      <w:r>
        <w:t>Regression Quantiles,</w:t>
      </w:r>
      <w:r>
        <w:t>”</w:t>
      </w:r>
      <w:r>
        <w:t xml:space="preserve"> Econometrica, 46(1), 33-50.</w:t>
      </w:r>
    </w:p>
    <w:p w14:paraId="65A688F0" w14:textId="77777777" w:rsidR="00EA064B" w:rsidRDefault="00000000">
      <w:pPr>
        <w:pStyle w:val="aff0"/>
      </w:pPr>
      <w:r>
        <w:t xml:space="preserve">[6] Kozhan, R., and G. Viswanath-Natraj (2023), </w:t>
      </w:r>
      <w:r>
        <w:t>“</w:t>
      </w:r>
      <w:r>
        <w:t>Stablecoin Devaluation Risk,</w:t>
      </w:r>
      <w:r>
        <w:t>”</w:t>
      </w:r>
      <w:r>
        <w:t xml:space="preserve"> Review of Asset Pricing Studies, 13(4), 940-976.</w:t>
      </w:r>
    </w:p>
    <w:p w14:paraId="40E04936" w14:textId="77777777" w:rsidR="00EA064B" w:rsidRDefault="00000000">
      <w:pPr>
        <w:pStyle w:val="aff0"/>
      </w:pPr>
      <w:r>
        <w:t xml:space="preserve">[7] Lee, J. (2021), </w:t>
      </w:r>
      <w:r>
        <w:t>“</w:t>
      </w:r>
      <w:r>
        <w:t>The Kimchi Premium and Speculative Trading in Bitcoin,</w:t>
      </w:r>
      <w:r>
        <w:t>”</w:t>
      </w:r>
      <w:r>
        <w:t xml:space="preserve"> Finance Research Letters, 38, 101501.</w:t>
      </w:r>
    </w:p>
    <w:p w14:paraId="77657747" w14:textId="77777777" w:rsidR="00EA064B" w:rsidRDefault="00000000">
      <w:pPr>
        <w:pStyle w:val="aff0"/>
      </w:pPr>
      <w:r>
        <w:t xml:space="preserve">[8] Li, L., Y. Ma, and B. Wang (2023), </w:t>
      </w:r>
      <w:r>
        <w:t>“</w:t>
      </w:r>
      <w:r>
        <w:t xml:space="preserve">Runs and Flights to Safety: Are Stablecoins the New Money Market </w:t>
      </w:r>
      <w:proofErr w:type="gramStart"/>
      <w:r>
        <w:t>Funds?,</w:t>
      </w:r>
      <w:proofErr w:type="gramEnd"/>
      <w:r>
        <w:t>”</w:t>
      </w:r>
      <w:r>
        <w:t xml:space="preserve"> SSRN Working Paper.</w:t>
      </w:r>
    </w:p>
    <w:p w14:paraId="0A9DD6C2" w14:textId="77777777" w:rsidR="00EA064B" w:rsidRDefault="00000000">
      <w:pPr>
        <w:pStyle w:val="aff0"/>
      </w:pPr>
      <w:r>
        <w:t xml:space="preserve">[9] Lyons, R. K., and G. Viswanath-Natraj (2023), </w:t>
      </w:r>
      <w:r>
        <w:t>“</w:t>
      </w:r>
      <w:r>
        <w:t xml:space="preserve">What Keeps Stablecoins </w:t>
      </w:r>
      <w:proofErr w:type="gramStart"/>
      <w:r>
        <w:t>Stable?,</w:t>
      </w:r>
      <w:proofErr w:type="gramEnd"/>
      <w:r>
        <w:t>”</w:t>
      </w:r>
      <w:r>
        <w:t xml:space="preserve"> Journal of International Money and Finance, 131, 102777.</w:t>
      </w:r>
    </w:p>
    <w:p w14:paraId="64447C9C" w14:textId="77777777" w:rsidR="00EA064B" w:rsidRDefault="00000000">
      <w:pPr>
        <w:pStyle w:val="aff0"/>
      </w:pPr>
      <w:r>
        <w:t xml:space="preserve">[10] Makarov, I., and A. Schoar (2020), </w:t>
      </w:r>
      <w:r>
        <w:t>“</w:t>
      </w:r>
      <w:r>
        <w:t>Trading and Arbitrage in Cryptocurrency Markets,</w:t>
      </w:r>
      <w:r>
        <w:t>”</w:t>
      </w:r>
      <w:r>
        <w:t xml:space="preserve"> Journal of Financial Economics, 135(2), 293-319.</w:t>
      </w:r>
    </w:p>
    <w:sectPr w:rsidR="00EA064B" w:rsidSect="00F41E7D">
      <w:headerReference w:type="default" r:id="rId18"/>
      <w:type w:val="continuous"/>
      <w:pgSz w:w="11906" w:h="16838" w:code="9"/>
      <w:pgMar w:top="2552" w:right="1786" w:bottom="2835" w:left="1786" w:header="1474" w:footer="0"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6800E" w14:textId="77777777" w:rsidR="001F64C7" w:rsidRDefault="001F64C7" w:rsidP="00034833">
      <w:pPr>
        <w:ind w:firstLine="180"/>
      </w:pPr>
      <w:r>
        <w:separator/>
      </w:r>
    </w:p>
  </w:endnote>
  <w:endnote w:type="continuationSeparator" w:id="0">
    <w:p w14:paraId="54E1FADB" w14:textId="77777777" w:rsidR="001F64C7" w:rsidRDefault="001F64C7" w:rsidP="00034833">
      <w:pPr>
        <w:ind w:firstLine="1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 w:name="Microsoft YaHei">
    <w:panose1 w:val="020B0503020204020204"/>
    <w:charset w:val="86"/>
    <w:family w:val="swiss"/>
    <w:pitch w:val="variable"/>
    <w:sig w:usb0="80000287" w:usb1="2ACF3C50" w:usb2="00000016" w:usb3="00000000" w:csb0="0004001F" w:csb1="00000000"/>
  </w:font>
  <w:font w:name="바탕체">
    <w:panose1 w:val="02030609000101010101"/>
    <w:charset w:val="81"/>
    <w:family w:val="roman"/>
    <w:pitch w:val="fixed"/>
    <w:sig w:usb0="B00002AF" w:usb1="69D77CFB" w:usb2="00000030" w:usb3="00000000" w:csb0="0008009F" w:csb1="00000000"/>
  </w:font>
  <w:font w:name="Times">
    <w:altName w:val="Times New Roman"/>
    <w:panose1 w:val="02020603050405020304"/>
    <w:charset w:val="00"/>
    <w:family w:val="roman"/>
    <w:pitch w:val="variable"/>
    <w:sig w:usb0="00000003" w:usb1="00000000" w:usb2="00000000" w:usb3="00000000" w:csb0="00000001" w:csb1="00000000"/>
  </w:font>
  <w:font w:name="한양견고딕">
    <w:altName w:val="바탕"/>
    <w:charset w:val="81"/>
    <w:family w:val="roman"/>
    <w:pitch w:val="variable"/>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7665" w14:textId="77777777" w:rsidR="00336FD4" w:rsidRDefault="00336FD4" w:rsidP="00336FD4">
    <w:pPr>
      <w:pStyle w:val="ab"/>
      <w:ind w:firstLine="16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F660F" w14:textId="77777777" w:rsidR="00336FD4" w:rsidRPr="00024D78" w:rsidRDefault="00336FD4" w:rsidP="00024D78">
    <w:pPr>
      <w:pStyle w:val="ab"/>
      <w:ind w:firstLine="16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B5D1" w14:textId="77777777" w:rsidR="00336FD4" w:rsidRDefault="00336FD4" w:rsidP="00336FD4">
    <w:pPr>
      <w:pStyle w:val="ab"/>
      <w:ind w:firstLine="16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0BCAF" w14:textId="77777777" w:rsidR="001F64C7" w:rsidRDefault="001F64C7" w:rsidP="00BB7EF1">
      <w:pPr>
        <w:ind w:firstLineChars="0" w:firstLine="0"/>
      </w:pPr>
      <w:r>
        <w:separator/>
      </w:r>
    </w:p>
  </w:footnote>
  <w:footnote w:type="continuationSeparator" w:id="0">
    <w:p w14:paraId="0770716C" w14:textId="77777777" w:rsidR="001F64C7" w:rsidRDefault="001F64C7" w:rsidP="00034833">
      <w:pPr>
        <w:ind w:firstLine="1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8343" w:type="dxa"/>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595"/>
      <w:gridCol w:w="7202"/>
      <w:gridCol w:w="546"/>
    </w:tblGrid>
    <w:tr w:rsidR="009C63B9" w:rsidRPr="00336FD4" w14:paraId="67699DC9" w14:textId="77777777" w:rsidTr="009C63B9">
      <w:trPr>
        <w:trHeight w:val="20"/>
      </w:trPr>
      <w:tc>
        <w:tcPr>
          <w:tcW w:w="595" w:type="dxa"/>
          <w:tcMar>
            <w:top w:w="28" w:type="dxa"/>
            <w:left w:w="28" w:type="dxa"/>
            <w:bottom w:w="28" w:type="dxa"/>
            <w:right w:w="28" w:type="dxa"/>
          </w:tcMar>
          <w:hideMark/>
        </w:tcPr>
        <w:p w14:paraId="3129D56E" w14:textId="77777777" w:rsidR="009C63B9" w:rsidRPr="00336FD4" w:rsidRDefault="00A622FA" w:rsidP="008C7D1B">
          <w:pPr>
            <w:pStyle w:val="12"/>
            <w:jc w:val="left"/>
            <w:rPr>
              <w:w w:val="90"/>
            </w:rPr>
          </w:pPr>
          <w:r w:rsidRPr="008C7D1B">
            <w:rPr>
              <w:w w:val="90"/>
            </w:rPr>
            <w:fldChar w:fldCharType="begin"/>
          </w:r>
          <w:r w:rsidR="008C7D1B" w:rsidRPr="008C7D1B">
            <w:rPr>
              <w:w w:val="90"/>
            </w:rPr>
            <w:instrText xml:space="preserve"> PAGE   \* MERGEFORMAT </w:instrText>
          </w:r>
          <w:r w:rsidRPr="008C7D1B">
            <w:rPr>
              <w:w w:val="90"/>
            </w:rPr>
            <w:fldChar w:fldCharType="separate"/>
          </w:r>
          <w:r w:rsidR="009271FA" w:rsidRPr="009271FA">
            <w:rPr>
              <w:noProof/>
              <w:w w:val="90"/>
              <w:lang w:val="ko-KR"/>
            </w:rPr>
            <w:t>2</w:t>
          </w:r>
          <w:r w:rsidRPr="008C7D1B">
            <w:rPr>
              <w:w w:val="90"/>
            </w:rPr>
            <w:fldChar w:fldCharType="end"/>
          </w:r>
        </w:p>
      </w:tc>
      <w:tc>
        <w:tcPr>
          <w:tcW w:w="7202" w:type="dxa"/>
          <w:tcMar>
            <w:top w:w="28" w:type="dxa"/>
            <w:left w:w="28" w:type="dxa"/>
            <w:bottom w:w="28" w:type="dxa"/>
            <w:right w:w="28" w:type="dxa"/>
          </w:tcMar>
          <w:hideMark/>
        </w:tcPr>
        <w:p w14:paraId="2CED9D7A" w14:textId="77777777" w:rsidR="009C63B9" w:rsidRDefault="006E14B9" w:rsidP="006E14B9">
          <w:pPr>
            <w:pStyle w:val="12"/>
            <w:rPr>
              <w:w w:val="90"/>
            </w:rPr>
          </w:pPr>
          <w:r w:rsidRPr="006E14B9">
            <w:rPr>
              <w:rFonts w:hint="eastAsia"/>
            </w:rPr>
            <w:t xml:space="preserve">김수빈 · </w:t>
          </w:r>
          <w:proofErr w:type="spellStart"/>
          <w:r w:rsidRPr="006E14B9">
            <w:rPr>
              <w:rFonts w:hint="eastAsia"/>
            </w:rPr>
            <w:t>송재욱</w:t>
          </w:r>
          <w:proofErr w:type="spellEnd"/>
        </w:p>
      </w:tc>
      <w:tc>
        <w:tcPr>
          <w:tcW w:w="546" w:type="dxa"/>
        </w:tcPr>
        <w:p w14:paraId="32BF13DC" w14:textId="77777777" w:rsidR="009C63B9" w:rsidRPr="00805592" w:rsidRDefault="009C63B9" w:rsidP="009C63B9">
          <w:pPr>
            <w:pStyle w:val="12"/>
            <w:rPr>
              <w:w w:val="90"/>
            </w:rPr>
          </w:pPr>
        </w:p>
      </w:tc>
    </w:tr>
  </w:tbl>
  <w:p w14:paraId="59D71111" w14:textId="77777777" w:rsidR="00336FD4" w:rsidRDefault="00336FD4" w:rsidP="00336FD4">
    <w:pPr>
      <w:pStyle w:val="aa"/>
      <w:ind w:firstLine="16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0" w:type="auto"/>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2772"/>
      <w:gridCol w:w="5561"/>
    </w:tblGrid>
    <w:tr w:rsidR="004D564A" w:rsidRPr="00336FD4" w14:paraId="419457D8" w14:textId="77777777" w:rsidTr="008F4C4E">
      <w:trPr>
        <w:trHeight w:val="237"/>
      </w:trPr>
      <w:tc>
        <w:tcPr>
          <w:tcW w:w="2772" w:type="dxa"/>
          <w:tcMar>
            <w:top w:w="28" w:type="dxa"/>
            <w:left w:w="28" w:type="dxa"/>
            <w:bottom w:w="28" w:type="dxa"/>
            <w:right w:w="28" w:type="dxa"/>
          </w:tcMar>
          <w:hideMark/>
        </w:tcPr>
        <w:p w14:paraId="3CFE666A" w14:textId="77777777" w:rsidR="004D564A" w:rsidRPr="00805592" w:rsidRDefault="004D564A" w:rsidP="008F4C4E">
          <w:pPr>
            <w:spacing w:line="200" w:lineRule="exact"/>
            <w:ind w:firstLineChars="0" w:firstLine="0"/>
            <w:rPr>
              <w:rFonts w:asciiTheme="minorEastAsia" w:eastAsiaTheme="minorEastAsia" w:hAnsiTheme="minorEastAsia"/>
              <w:w w:val="90"/>
              <w:kern w:val="0"/>
              <w:lang w:eastAsia="zh-TW"/>
            </w:rPr>
          </w:pPr>
          <w:r w:rsidRPr="00805592">
            <w:rPr>
              <w:rFonts w:asciiTheme="minorEastAsia" w:eastAsiaTheme="minorEastAsia" w:hAnsiTheme="minorEastAsia" w:hint="eastAsia"/>
              <w:w w:val="90"/>
              <w:kern w:val="0"/>
              <w:lang w:eastAsia="zh-TW"/>
            </w:rPr>
            <w:t>經營科學</w:t>
          </w:r>
        </w:p>
        <w:p w14:paraId="06ABBE10" w14:textId="77777777" w:rsidR="004D564A" w:rsidRPr="00805592" w:rsidRDefault="004D564A" w:rsidP="008F4C4E">
          <w:pPr>
            <w:spacing w:line="200" w:lineRule="exact"/>
            <w:ind w:firstLineChars="0" w:firstLine="0"/>
            <w:rPr>
              <w:rFonts w:asciiTheme="minorEastAsia" w:eastAsiaTheme="minorEastAsia" w:hAnsiTheme="minorEastAsia"/>
              <w:w w:val="90"/>
              <w:kern w:val="0"/>
              <w:lang w:eastAsia="zh-TW"/>
            </w:rPr>
          </w:pPr>
          <w:r w:rsidRPr="00805592">
            <w:rPr>
              <w:rFonts w:asciiTheme="minorEastAsia" w:eastAsiaTheme="minorEastAsia" w:hAnsiTheme="minorEastAsia" w:hint="eastAsia"/>
              <w:w w:val="90"/>
              <w:kern w:val="0"/>
              <w:lang w:eastAsia="zh-TW"/>
            </w:rPr>
            <w:t>第</w:t>
          </w:r>
          <w:r w:rsidRPr="00805592">
            <w:rPr>
              <w:rFonts w:asciiTheme="minorEastAsia" w:eastAsiaTheme="minorEastAsia" w:hAnsiTheme="minorEastAsia"/>
              <w:w w:val="90"/>
              <w:kern w:val="0"/>
              <w:lang w:eastAsia="zh-TW"/>
            </w:rPr>
            <w:t>4</w:t>
          </w:r>
          <w:r w:rsidR="009271FA">
            <w:rPr>
              <w:rFonts w:asciiTheme="minorEastAsia" w:eastAsiaTheme="minorEastAsia" w:hAnsiTheme="minorEastAsia" w:hint="eastAsia"/>
              <w:w w:val="90"/>
              <w:kern w:val="0"/>
              <w:lang w:eastAsia="zh-TW"/>
            </w:rPr>
            <w:t>2</w:t>
          </w:r>
          <w:r w:rsidRPr="00805592">
            <w:rPr>
              <w:rFonts w:asciiTheme="minorEastAsia" w:eastAsiaTheme="minorEastAsia" w:hAnsiTheme="minorEastAsia"/>
              <w:w w:val="90"/>
              <w:kern w:val="0"/>
              <w:lang w:eastAsia="zh-TW"/>
            </w:rPr>
            <w:t>卷 第</w:t>
          </w:r>
          <w:r w:rsidR="009271FA">
            <w:rPr>
              <w:rFonts w:asciiTheme="minorEastAsia" w:eastAsiaTheme="minorEastAsia" w:hAnsiTheme="minorEastAsia" w:hint="eastAsia"/>
              <w:w w:val="90"/>
              <w:kern w:val="0"/>
              <w:lang w:eastAsia="zh-TW"/>
            </w:rPr>
            <w:t>4</w:t>
          </w:r>
          <w:r w:rsidRPr="00805592">
            <w:rPr>
              <w:rFonts w:asciiTheme="minorEastAsia" w:eastAsiaTheme="minorEastAsia" w:hAnsiTheme="minorEastAsia"/>
              <w:w w:val="90"/>
              <w:kern w:val="0"/>
              <w:lang w:eastAsia="zh-TW"/>
            </w:rPr>
            <w:t>號</w:t>
          </w:r>
        </w:p>
        <w:p w14:paraId="05A71F38" w14:textId="77777777" w:rsidR="004D564A" w:rsidRPr="00336FD4" w:rsidRDefault="004D564A" w:rsidP="009271FA">
          <w:pPr>
            <w:spacing w:line="200" w:lineRule="exact"/>
            <w:ind w:firstLineChars="0" w:firstLine="0"/>
            <w:rPr>
              <w:w w:val="90"/>
              <w:kern w:val="0"/>
              <w:lang w:eastAsia="zh-TW"/>
            </w:rPr>
          </w:pPr>
          <w:r w:rsidRPr="00805592">
            <w:rPr>
              <w:rFonts w:asciiTheme="minorEastAsia" w:eastAsiaTheme="minorEastAsia" w:hAnsiTheme="minorEastAsia"/>
              <w:w w:val="90"/>
              <w:kern w:val="0"/>
              <w:lang w:eastAsia="zh-TW"/>
            </w:rPr>
            <w:t>202</w:t>
          </w:r>
          <w:r w:rsidR="009271FA">
            <w:rPr>
              <w:rFonts w:asciiTheme="minorEastAsia" w:eastAsiaTheme="minorEastAsia" w:hAnsiTheme="minorEastAsia" w:hint="eastAsia"/>
              <w:w w:val="90"/>
              <w:kern w:val="0"/>
              <w:lang w:eastAsia="zh-TW"/>
            </w:rPr>
            <w:t>5</w:t>
          </w:r>
          <w:r w:rsidRPr="00805592">
            <w:rPr>
              <w:rFonts w:asciiTheme="minorEastAsia" w:eastAsiaTheme="minorEastAsia" w:hAnsiTheme="minorEastAsia"/>
              <w:w w:val="90"/>
              <w:kern w:val="0"/>
              <w:lang w:eastAsia="zh-TW"/>
            </w:rPr>
            <w:t xml:space="preserve">年 </w:t>
          </w:r>
          <w:r w:rsidR="009271FA">
            <w:rPr>
              <w:rFonts w:asciiTheme="minorEastAsia" w:eastAsiaTheme="minorEastAsia" w:hAnsiTheme="minorEastAsia" w:hint="eastAsia"/>
              <w:w w:val="90"/>
              <w:kern w:val="0"/>
              <w:lang w:eastAsia="zh-TW"/>
            </w:rPr>
            <w:t>12</w:t>
          </w:r>
          <w:r w:rsidRPr="00805592">
            <w:rPr>
              <w:rFonts w:asciiTheme="minorEastAsia" w:eastAsiaTheme="minorEastAsia" w:hAnsiTheme="minorEastAsia"/>
              <w:w w:val="90"/>
              <w:kern w:val="0"/>
              <w:lang w:eastAsia="zh-TW"/>
            </w:rPr>
            <w:t>月, pp.</w:t>
          </w:r>
          <w:r w:rsidR="009271FA">
            <w:rPr>
              <w:rFonts w:asciiTheme="minorEastAsia" w:eastAsiaTheme="minorEastAsia" w:hAnsiTheme="minorEastAsia" w:hint="eastAsia"/>
              <w:w w:val="90"/>
              <w:kern w:val="0"/>
              <w:lang w:eastAsia="zh-TW"/>
            </w:rPr>
            <w:t>183</w:t>
          </w:r>
          <w:r w:rsidRPr="00805592">
            <w:rPr>
              <w:rFonts w:asciiTheme="minorEastAsia" w:eastAsiaTheme="minorEastAsia" w:hAnsiTheme="minorEastAsia"/>
              <w:w w:val="90"/>
              <w:kern w:val="0"/>
              <w:lang w:eastAsia="zh-TW"/>
            </w:rPr>
            <w:t>-</w:t>
          </w:r>
          <w:r w:rsidR="009271FA">
            <w:rPr>
              <w:rFonts w:asciiTheme="minorEastAsia" w:eastAsiaTheme="minorEastAsia" w:hAnsiTheme="minorEastAsia" w:hint="eastAsia"/>
              <w:w w:val="90"/>
              <w:kern w:val="0"/>
              <w:lang w:eastAsia="zh-TW"/>
            </w:rPr>
            <w:t>194</w:t>
          </w:r>
        </w:p>
      </w:tc>
      <w:tc>
        <w:tcPr>
          <w:tcW w:w="5561" w:type="dxa"/>
          <w:tcMar>
            <w:top w:w="28" w:type="dxa"/>
            <w:left w:w="28" w:type="dxa"/>
            <w:bottom w:w="28" w:type="dxa"/>
            <w:right w:w="28" w:type="dxa"/>
          </w:tcMar>
          <w:hideMark/>
        </w:tcPr>
        <w:p w14:paraId="77654BAE" w14:textId="77777777" w:rsidR="004D564A" w:rsidRDefault="004D564A" w:rsidP="008F4C4E">
          <w:pPr>
            <w:shd w:val="clear" w:color="auto" w:fill="FFFFFF"/>
            <w:wordWrap/>
            <w:snapToGrid w:val="0"/>
            <w:spacing w:line="288" w:lineRule="auto"/>
            <w:ind w:firstLineChars="0" w:firstLine="0"/>
            <w:jc w:val="right"/>
            <w:textAlignment w:val="baseline"/>
            <w:rPr>
              <w:rFonts w:ascii="한양견고딕" w:eastAsia="한양견고딕" w:hAnsi="굴림" w:cs="굴림"/>
              <w:color w:val="FFFFFF"/>
              <w:spacing w:val="-16"/>
              <w:w w:val="90"/>
              <w:kern w:val="0"/>
              <w:sz w:val="18"/>
              <w:szCs w:val="18"/>
              <w:shd w:val="clear" w:color="auto" w:fill="FFFFFF"/>
              <w:lang w:eastAsia="zh-TW"/>
            </w:rPr>
          </w:pPr>
        </w:p>
        <w:p w14:paraId="04155617" w14:textId="77777777" w:rsidR="004D564A" w:rsidRPr="00805592" w:rsidRDefault="004D564A" w:rsidP="009271FA">
          <w:pPr>
            <w:ind w:firstLine="146"/>
            <w:jc w:val="right"/>
            <w:rPr>
              <w:w w:val="90"/>
              <w:kern w:val="0"/>
              <w:sz w:val="18"/>
              <w:szCs w:val="18"/>
            </w:rPr>
          </w:pPr>
          <w:r w:rsidRPr="00805592">
            <w:rPr>
              <w:w w:val="90"/>
              <w:kern w:val="0"/>
              <w:sz w:val="18"/>
              <w:szCs w:val="18"/>
            </w:rPr>
            <w:t>https://doi.org/10.7737/KMSR.202</w:t>
          </w:r>
          <w:r w:rsidR="009271FA">
            <w:rPr>
              <w:rFonts w:hint="eastAsia"/>
              <w:w w:val="90"/>
              <w:kern w:val="0"/>
              <w:sz w:val="18"/>
              <w:szCs w:val="18"/>
            </w:rPr>
            <w:t>5</w:t>
          </w:r>
          <w:r w:rsidRPr="00805592">
            <w:rPr>
              <w:w w:val="90"/>
              <w:kern w:val="0"/>
              <w:sz w:val="18"/>
              <w:szCs w:val="18"/>
            </w:rPr>
            <w:t>.4</w:t>
          </w:r>
          <w:r w:rsidR="009271FA">
            <w:rPr>
              <w:rFonts w:hint="eastAsia"/>
              <w:w w:val="90"/>
              <w:kern w:val="0"/>
              <w:sz w:val="18"/>
              <w:szCs w:val="18"/>
            </w:rPr>
            <w:t>2</w:t>
          </w:r>
          <w:r w:rsidRPr="00805592">
            <w:rPr>
              <w:w w:val="90"/>
              <w:kern w:val="0"/>
              <w:sz w:val="18"/>
              <w:szCs w:val="18"/>
            </w:rPr>
            <w:t>.</w:t>
          </w:r>
          <w:r w:rsidR="009271FA">
            <w:rPr>
              <w:rFonts w:hint="eastAsia"/>
              <w:w w:val="90"/>
              <w:kern w:val="0"/>
              <w:sz w:val="18"/>
              <w:szCs w:val="18"/>
            </w:rPr>
            <w:t>4</w:t>
          </w:r>
          <w:r w:rsidRPr="00805592">
            <w:rPr>
              <w:w w:val="90"/>
              <w:kern w:val="0"/>
              <w:sz w:val="18"/>
              <w:szCs w:val="18"/>
            </w:rPr>
            <w:t>.</w:t>
          </w:r>
          <w:r w:rsidR="009271FA">
            <w:rPr>
              <w:rFonts w:hint="eastAsia"/>
              <w:w w:val="90"/>
              <w:kern w:val="0"/>
              <w:sz w:val="18"/>
              <w:szCs w:val="18"/>
            </w:rPr>
            <w:t>183</w:t>
          </w:r>
        </w:p>
      </w:tc>
    </w:tr>
  </w:tbl>
  <w:p w14:paraId="72FAC8BD" w14:textId="77777777" w:rsidR="00336FD4" w:rsidRPr="004D564A" w:rsidRDefault="00336FD4" w:rsidP="004D564A">
    <w:pPr>
      <w:pStyle w:val="aa"/>
      <w:ind w:firstLine="16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Overlap w:val="never"/>
      <w:tblW w:w="0" w:type="auto"/>
      <w:tblBorders>
        <w:bottom w:val="single" w:sz="36" w:space="0" w:color="808080" w:themeColor="background1" w:themeShade="80"/>
      </w:tblBorders>
      <w:tblCellMar>
        <w:top w:w="15" w:type="dxa"/>
        <w:left w:w="15" w:type="dxa"/>
        <w:bottom w:w="15" w:type="dxa"/>
        <w:right w:w="15" w:type="dxa"/>
      </w:tblCellMar>
      <w:tblLook w:val="04A0" w:firstRow="1" w:lastRow="0" w:firstColumn="1" w:lastColumn="0" w:noHBand="0" w:noVBand="1"/>
    </w:tblPr>
    <w:tblGrid>
      <w:gridCol w:w="449"/>
      <w:gridCol w:w="7378"/>
      <w:gridCol w:w="506"/>
    </w:tblGrid>
    <w:tr w:rsidR="00E830DB" w:rsidRPr="00336FD4" w14:paraId="71B37836" w14:textId="77777777" w:rsidTr="00886FFA">
      <w:trPr>
        <w:trHeight w:val="237"/>
      </w:trPr>
      <w:tc>
        <w:tcPr>
          <w:tcW w:w="449" w:type="dxa"/>
          <w:tcMar>
            <w:top w:w="28" w:type="dxa"/>
            <w:left w:w="28" w:type="dxa"/>
            <w:bottom w:w="28" w:type="dxa"/>
            <w:right w:w="28" w:type="dxa"/>
          </w:tcMar>
          <w:hideMark/>
        </w:tcPr>
        <w:p w14:paraId="2A3FDC8D" w14:textId="77777777" w:rsidR="00336FD4" w:rsidRPr="00336FD4" w:rsidRDefault="00A622FA" w:rsidP="0056067D">
          <w:pPr>
            <w:pStyle w:val="12"/>
            <w:rPr>
              <w:w w:val="90"/>
            </w:rPr>
          </w:pPr>
          <w:r w:rsidRPr="00EC19AC">
            <w:rPr>
              <w:w w:val="90"/>
            </w:rPr>
            <w:fldChar w:fldCharType="begin"/>
          </w:r>
          <w:r w:rsidR="00EC19AC" w:rsidRPr="00EC19AC">
            <w:rPr>
              <w:w w:val="90"/>
            </w:rPr>
            <w:instrText xml:space="preserve"> PAGE   \* MERGEFORMAT </w:instrText>
          </w:r>
          <w:r w:rsidRPr="00EC19AC">
            <w:rPr>
              <w:w w:val="90"/>
            </w:rPr>
            <w:fldChar w:fldCharType="separate"/>
          </w:r>
          <w:r w:rsidR="00E43300" w:rsidRPr="00E43300">
            <w:rPr>
              <w:noProof/>
              <w:w w:val="90"/>
              <w:lang w:val="ko-KR"/>
            </w:rPr>
            <w:t>2</w:t>
          </w:r>
          <w:r w:rsidRPr="00EC19AC">
            <w:rPr>
              <w:w w:val="90"/>
            </w:rPr>
            <w:fldChar w:fldCharType="end"/>
          </w:r>
        </w:p>
      </w:tc>
      <w:tc>
        <w:tcPr>
          <w:tcW w:w="7378" w:type="dxa"/>
          <w:tcMar>
            <w:top w:w="28" w:type="dxa"/>
            <w:left w:w="28" w:type="dxa"/>
            <w:bottom w:w="28" w:type="dxa"/>
            <w:right w:w="28" w:type="dxa"/>
          </w:tcMar>
          <w:hideMark/>
        </w:tcPr>
        <w:p w14:paraId="6EFCE8A2" w14:textId="77777777" w:rsidR="00E830DB" w:rsidRPr="00336FD4" w:rsidRDefault="00653E53" w:rsidP="0056067D">
          <w:pPr>
            <w:pStyle w:val="12"/>
          </w:pPr>
          <w:r>
            <w:rPr>
              <w:rFonts w:hint="eastAsia"/>
            </w:rPr>
            <w:t xml:space="preserve">김수빈 · </w:t>
          </w:r>
          <w:proofErr w:type="spellStart"/>
          <w:r>
            <w:rPr>
              <w:rFonts w:hint="eastAsia"/>
            </w:rPr>
            <w:t>송재욱</w:t>
          </w:r>
          <w:proofErr w:type="spellEnd"/>
        </w:p>
      </w:tc>
      <w:tc>
        <w:tcPr>
          <w:tcW w:w="506" w:type="dxa"/>
          <w:tcMar>
            <w:top w:w="28" w:type="dxa"/>
            <w:left w:w="28" w:type="dxa"/>
            <w:bottom w:w="28" w:type="dxa"/>
            <w:right w:w="28" w:type="dxa"/>
          </w:tcMar>
          <w:hideMark/>
        </w:tcPr>
        <w:p w14:paraId="77757FC4" w14:textId="77777777" w:rsidR="00336FD4" w:rsidRPr="00336FD4" w:rsidRDefault="00E830DB" w:rsidP="00886FFA">
          <w:pPr>
            <w:shd w:val="clear" w:color="auto" w:fill="FFFFFF"/>
            <w:wordWrap/>
            <w:snapToGrid w:val="0"/>
            <w:spacing w:line="384" w:lineRule="auto"/>
            <w:ind w:firstLineChars="0" w:firstLine="0"/>
            <w:jc w:val="right"/>
            <w:textAlignment w:val="baseline"/>
            <w:rPr>
              <w:rFonts w:ascii="굴림" w:eastAsia="굴림" w:hAnsi="굴림" w:cs="굴림"/>
              <w:color w:val="000000"/>
              <w:spacing w:val="-16"/>
              <w:w w:val="90"/>
              <w:kern w:val="0"/>
              <w:sz w:val="18"/>
              <w:szCs w:val="18"/>
            </w:rPr>
          </w:pPr>
          <w:r w:rsidRPr="00336FD4">
            <w:rPr>
              <w:rFonts w:ascii="한양견고딕" w:eastAsia="한양견고딕" w:hAnsi="굴림" w:cs="굴림" w:hint="eastAsia"/>
              <w:color w:val="FFFFFF"/>
              <w:spacing w:val="-16"/>
              <w:w w:val="90"/>
              <w:kern w:val="0"/>
              <w:sz w:val="18"/>
              <w:szCs w:val="18"/>
              <w:shd w:val="clear" w:color="auto" w:fill="FFFFFF"/>
            </w:rPr>
            <w:t>1</w:t>
          </w:r>
          <w:r w:rsidRPr="00336FD4">
            <w:rPr>
              <w:rFonts w:ascii="한양견고딕" w:eastAsia="한양견고딕" w:hAnsi="굴림" w:cs="굴림" w:hint="eastAsia"/>
              <w:color w:val="000000"/>
              <w:spacing w:val="-16"/>
              <w:w w:val="90"/>
              <w:kern w:val="0"/>
              <w:sz w:val="18"/>
              <w:szCs w:val="18"/>
              <w:shd w:val="clear" w:color="auto" w:fill="FFFFFF"/>
            </w:rPr>
            <w:t xml:space="preserve"> </w:t>
          </w:r>
        </w:p>
      </w:tc>
    </w:tr>
  </w:tbl>
  <w:p w14:paraId="0D17B31F" w14:textId="77777777" w:rsidR="00336FD4" w:rsidRDefault="00336FD4" w:rsidP="00336FD4">
    <w:pPr>
      <w:pStyle w:val="aa"/>
      <w:ind w:firstLine="16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single" w:sz="36" w:space="0" w:color="808080" w:themeColor="background1" w:themeShade="80"/>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2"/>
      <w:gridCol w:w="6719"/>
      <w:gridCol w:w="803"/>
    </w:tblGrid>
    <w:tr w:rsidR="003D6963" w14:paraId="28E9E068" w14:textId="77777777" w:rsidTr="00653E53">
      <w:trPr>
        <w:trHeight w:val="352"/>
      </w:trPr>
      <w:tc>
        <w:tcPr>
          <w:tcW w:w="812" w:type="dxa"/>
        </w:tcPr>
        <w:p w14:paraId="1299AB96" w14:textId="77777777" w:rsidR="003D6963" w:rsidRDefault="003D6963" w:rsidP="00336FD4">
          <w:pPr>
            <w:pStyle w:val="aa"/>
            <w:ind w:firstLineChars="0" w:firstLine="0"/>
          </w:pPr>
        </w:p>
      </w:tc>
      <w:tc>
        <w:tcPr>
          <w:tcW w:w="6719" w:type="dxa"/>
        </w:tcPr>
        <w:p w14:paraId="2C5849AC" w14:textId="77777777" w:rsidR="003D6963" w:rsidRDefault="00297604" w:rsidP="00653E53">
          <w:pPr>
            <w:pStyle w:val="12"/>
          </w:pPr>
          <w:r w:rsidRPr="00297604">
            <w:rPr>
              <w:rFonts w:hint="eastAsia"/>
            </w:rPr>
            <w:t xml:space="preserve">한국 USDT </w:t>
          </w:r>
          <w:proofErr w:type="spellStart"/>
          <w:r w:rsidRPr="00297604">
            <w:rPr>
              <w:rFonts w:hint="eastAsia"/>
            </w:rPr>
            <w:t>잔차의</w:t>
          </w:r>
          <w:proofErr w:type="spellEnd"/>
          <w:r w:rsidRPr="00297604">
            <w:rPr>
              <w:rFonts w:hint="eastAsia"/>
            </w:rPr>
            <w:t xml:space="preserve"> 하단 꼬리 반응과 레버리지 포지셔닝 채널</w:t>
          </w:r>
        </w:p>
      </w:tc>
      <w:tc>
        <w:tcPr>
          <w:tcW w:w="803" w:type="dxa"/>
        </w:tcPr>
        <w:p w14:paraId="520F1D75" w14:textId="77777777" w:rsidR="003D6963" w:rsidRDefault="00A622FA" w:rsidP="00653E53">
          <w:pPr>
            <w:pStyle w:val="aa"/>
            <w:ind w:firstLineChars="0" w:firstLine="0"/>
            <w:jc w:val="right"/>
          </w:pPr>
          <w:r w:rsidRPr="00653E53">
            <w:fldChar w:fldCharType="begin"/>
          </w:r>
          <w:r w:rsidR="00653E53" w:rsidRPr="00653E53">
            <w:instrText xml:space="preserve"> PAGE   \* MERGEFORMAT </w:instrText>
          </w:r>
          <w:r w:rsidRPr="00653E53">
            <w:fldChar w:fldCharType="separate"/>
          </w:r>
          <w:r w:rsidR="009271FA" w:rsidRPr="009271FA">
            <w:rPr>
              <w:noProof/>
              <w:lang w:val="ko-KR"/>
            </w:rPr>
            <w:t>3</w:t>
          </w:r>
          <w:r w:rsidRPr="00653E53">
            <w:fldChar w:fldCharType="end"/>
          </w:r>
        </w:p>
      </w:tc>
    </w:tr>
  </w:tbl>
  <w:p w14:paraId="2F52B386" w14:textId="77777777" w:rsidR="003D6963" w:rsidRDefault="003D6963" w:rsidP="00336FD4">
    <w:pPr>
      <w:pStyle w:val="aa"/>
      <w:ind w:firstLine="16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F5A50"/>
    <w:multiLevelType w:val="hybridMultilevel"/>
    <w:tmpl w:val="8684DE92"/>
    <w:lvl w:ilvl="0" w:tplc="DC7069CE">
      <w:start w:val="3"/>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99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evenAndOddHeaders/>
  <w:drawingGridHorizontalSpacing w:val="82"/>
  <w:displayHorizontalDrawingGridEvery w:val="0"/>
  <w:displayVerticalDrawingGridEvery w:val="2"/>
  <w:noPunctuationKerning/>
  <w:characterSpacingControl w:val="doNotCompress"/>
  <w:hdrShapeDefaults>
    <o:shapedefaults v:ext="edit" spidmax="2050"/>
  </w:hdrShapeDefaults>
  <w:footnotePr>
    <w:numFmt w:val="chicago"/>
    <w:numStart w:val="2"/>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Malgun Gothic&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vx9rvaopdwsyez5vpvs996z55wrde955sp&quot;&gt;My EndNote Library&lt;record-ids&gt;&lt;item&gt;7&lt;/item&gt;&lt;item&gt;8&lt;/item&gt;&lt;item&gt;31&lt;/item&gt;&lt;item&gt;60&lt;/item&gt;&lt;item&gt;61&lt;/item&gt;&lt;item&gt;63&lt;/item&gt;&lt;item&gt;64&lt;/item&gt;&lt;item&gt;67&lt;/item&gt;&lt;item&gt;68&lt;/item&gt;&lt;item&gt;69&lt;/item&gt;&lt;item&gt;73&lt;/item&gt;&lt;item&gt;75&lt;/item&gt;&lt;item&gt;76&lt;/item&gt;&lt;item&gt;79&lt;/item&gt;&lt;item&gt;80&lt;/item&gt;&lt;item&gt;82&lt;/item&gt;&lt;item&gt;84&lt;/item&gt;&lt;item&gt;85&lt;/item&gt;&lt;item&gt;86&lt;/item&gt;&lt;item&gt;89&lt;/item&gt;&lt;item&gt;113&lt;/item&gt;&lt;item&gt;115&lt;/item&gt;&lt;item&gt;116&lt;/item&gt;&lt;item&gt;117&lt;/item&gt;&lt;item&gt;118&lt;/item&gt;&lt;item&gt;119&lt;/item&gt;&lt;item&gt;120&lt;/item&gt;&lt;item&gt;122&lt;/item&gt;&lt;item&gt;124&lt;/item&gt;&lt;item&gt;128&lt;/item&gt;&lt;item&gt;129&lt;/item&gt;&lt;item&gt;132&lt;/item&gt;&lt;item&gt;138&lt;/item&gt;&lt;item&gt;140&lt;/item&gt;&lt;item&gt;143&lt;/item&gt;&lt;item&gt;145&lt;/item&gt;&lt;item&gt;146&lt;/item&gt;&lt;item&gt;147&lt;/item&gt;&lt;item&gt;148&lt;/item&gt;&lt;item&gt;149&lt;/item&gt;&lt;item&gt;155&lt;/item&gt;&lt;item&gt;156&lt;/item&gt;&lt;item&gt;157&lt;/item&gt;&lt;item&gt;158&lt;/item&gt;&lt;/record-ids&gt;&lt;/item&gt;&lt;/Libraries&gt;"/>
  </w:docVars>
  <w:rsids>
    <w:rsidRoot w:val="00EF7EF3"/>
    <w:rsid w:val="00000DEC"/>
    <w:rsid w:val="00016EC4"/>
    <w:rsid w:val="00024D78"/>
    <w:rsid w:val="00024DBA"/>
    <w:rsid w:val="00026A1D"/>
    <w:rsid w:val="0003399A"/>
    <w:rsid w:val="00034833"/>
    <w:rsid w:val="00042F9B"/>
    <w:rsid w:val="00043D49"/>
    <w:rsid w:val="00045492"/>
    <w:rsid w:val="00051B71"/>
    <w:rsid w:val="0005290F"/>
    <w:rsid w:val="000662AA"/>
    <w:rsid w:val="00071AF9"/>
    <w:rsid w:val="00082324"/>
    <w:rsid w:val="00085C1E"/>
    <w:rsid w:val="00087230"/>
    <w:rsid w:val="000A1432"/>
    <w:rsid w:val="000B47F3"/>
    <w:rsid w:val="000C11ED"/>
    <w:rsid w:val="000D0807"/>
    <w:rsid w:val="000D606B"/>
    <w:rsid w:val="000D6FAD"/>
    <w:rsid w:val="000E3791"/>
    <w:rsid w:val="000F345A"/>
    <w:rsid w:val="000F72DF"/>
    <w:rsid w:val="0012700F"/>
    <w:rsid w:val="00127C90"/>
    <w:rsid w:val="00131515"/>
    <w:rsid w:val="00134395"/>
    <w:rsid w:val="00135D93"/>
    <w:rsid w:val="001457A6"/>
    <w:rsid w:val="0016035C"/>
    <w:rsid w:val="00170E20"/>
    <w:rsid w:val="00176182"/>
    <w:rsid w:val="00185670"/>
    <w:rsid w:val="0018576F"/>
    <w:rsid w:val="00186142"/>
    <w:rsid w:val="00187A03"/>
    <w:rsid w:val="00191D4B"/>
    <w:rsid w:val="00197247"/>
    <w:rsid w:val="001A32D2"/>
    <w:rsid w:val="001B03FE"/>
    <w:rsid w:val="001C24E6"/>
    <w:rsid w:val="001D1F1F"/>
    <w:rsid w:val="001D3AB0"/>
    <w:rsid w:val="001D6293"/>
    <w:rsid w:val="001D7264"/>
    <w:rsid w:val="001E065A"/>
    <w:rsid w:val="001F5B8F"/>
    <w:rsid w:val="001F64C7"/>
    <w:rsid w:val="001F6DCB"/>
    <w:rsid w:val="001F7CDA"/>
    <w:rsid w:val="00203628"/>
    <w:rsid w:val="0021083C"/>
    <w:rsid w:val="00212FFB"/>
    <w:rsid w:val="002162CF"/>
    <w:rsid w:val="00230D00"/>
    <w:rsid w:val="002333C3"/>
    <w:rsid w:val="00236B3D"/>
    <w:rsid w:val="0024778F"/>
    <w:rsid w:val="0026042E"/>
    <w:rsid w:val="00261F3E"/>
    <w:rsid w:val="00262C79"/>
    <w:rsid w:val="00271CA4"/>
    <w:rsid w:val="00273FD5"/>
    <w:rsid w:val="002754C9"/>
    <w:rsid w:val="00297604"/>
    <w:rsid w:val="002A0C5D"/>
    <w:rsid w:val="002A1E33"/>
    <w:rsid w:val="002A5FF6"/>
    <w:rsid w:val="002A6966"/>
    <w:rsid w:val="002A7930"/>
    <w:rsid w:val="002B07BC"/>
    <w:rsid w:val="002C4C4D"/>
    <w:rsid w:val="002D1B87"/>
    <w:rsid w:val="002D3C78"/>
    <w:rsid w:val="002E0392"/>
    <w:rsid w:val="002E373D"/>
    <w:rsid w:val="002E7080"/>
    <w:rsid w:val="002F2BBB"/>
    <w:rsid w:val="002F6E05"/>
    <w:rsid w:val="00301383"/>
    <w:rsid w:val="0031189D"/>
    <w:rsid w:val="00320E5C"/>
    <w:rsid w:val="003354BC"/>
    <w:rsid w:val="00336FD4"/>
    <w:rsid w:val="0034245A"/>
    <w:rsid w:val="00350C32"/>
    <w:rsid w:val="003511C6"/>
    <w:rsid w:val="00353100"/>
    <w:rsid w:val="0035459F"/>
    <w:rsid w:val="0037258F"/>
    <w:rsid w:val="00377A9D"/>
    <w:rsid w:val="00384217"/>
    <w:rsid w:val="00386C36"/>
    <w:rsid w:val="00390305"/>
    <w:rsid w:val="00390B8D"/>
    <w:rsid w:val="00392D30"/>
    <w:rsid w:val="00393B07"/>
    <w:rsid w:val="003946A4"/>
    <w:rsid w:val="003B3121"/>
    <w:rsid w:val="003C4C68"/>
    <w:rsid w:val="003D6963"/>
    <w:rsid w:val="003F1FBF"/>
    <w:rsid w:val="003F698D"/>
    <w:rsid w:val="00430A6A"/>
    <w:rsid w:val="00433DE4"/>
    <w:rsid w:val="004535CF"/>
    <w:rsid w:val="00457F8B"/>
    <w:rsid w:val="00470101"/>
    <w:rsid w:val="004967B1"/>
    <w:rsid w:val="00496B45"/>
    <w:rsid w:val="004C3A67"/>
    <w:rsid w:val="004D0596"/>
    <w:rsid w:val="004D564A"/>
    <w:rsid w:val="005016D2"/>
    <w:rsid w:val="005122B7"/>
    <w:rsid w:val="00513B3E"/>
    <w:rsid w:val="00517FBB"/>
    <w:rsid w:val="0053179E"/>
    <w:rsid w:val="005332AB"/>
    <w:rsid w:val="005434B7"/>
    <w:rsid w:val="00544788"/>
    <w:rsid w:val="0054591F"/>
    <w:rsid w:val="0055779C"/>
    <w:rsid w:val="00557F78"/>
    <w:rsid w:val="0056067D"/>
    <w:rsid w:val="00560EAA"/>
    <w:rsid w:val="00561A00"/>
    <w:rsid w:val="00565A6F"/>
    <w:rsid w:val="00566266"/>
    <w:rsid w:val="005748F4"/>
    <w:rsid w:val="005878F0"/>
    <w:rsid w:val="00591368"/>
    <w:rsid w:val="005944EB"/>
    <w:rsid w:val="005C2D2C"/>
    <w:rsid w:val="005D1106"/>
    <w:rsid w:val="005D1C76"/>
    <w:rsid w:val="005D3DDD"/>
    <w:rsid w:val="0060693D"/>
    <w:rsid w:val="00614436"/>
    <w:rsid w:val="00617679"/>
    <w:rsid w:val="0062387E"/>
    <w:rsid w:val="00625186"/>
    <w:rsid w:val="00627DA7"/>
    <w:rsid w:val="00634774"/>
    <w:rsid w:val="00635586"/>
    <w:rsid w:val="00653E53"/>
    <w:rsid w:val="00654BD1"/>
    <w:rsid w:val="00656E66"/>
    <w:rsid w:val="006712D3"/>
    <w:rsid w:val="006731F5"/>
    <w:rsid w:val="00695239"/>
    <w:rsid w:val="006966A8"/>
    <w:rsid w:val="006A0844"/>
    <w:rsid w:val="006B2774"/>
    <w:rsid w:val="006D018A"/>
    <w:rsid w:val="006D0B46"/>
    <w:rsid w:val="006E1332"/>
    <w:rsid w:val="006E14B9"/>
    <w:rsid w:val="006E2FB1"/>
    <w:rsid w:val="006E454D"/>
    <w:rsid w:val="006F5944"/>
    <w:rsid w:val="00700A79"/>
    <w:rsid w:val="007071DB"/>
    <w:rsid w:val="007132E7"/>
    <w:rsid w:val="007228DE"/>
    <w:rsid w:val="00726312"/>
    <w:rsid w:val="00726751"/>
    <w:rsid w:val="0073159D"/>
    <w:rsid w:val="00731A7B"/>
    <w:rsid w:val="00757228"/>
    <w:rsid w:val="00762488"/>
    <w:rsid w:val="00767E61"/>
    <w:rsid w:val="007849EE"/>
    <w:rsid w:val="007871C1"/>
    <w:rsid w:val="007924F0"/>
    <w:rsid w:val="007A14A1"/>
    <w:rsid w:val="007A2031"/>
    <w:rsid w:val="007C432A"/>
    <w:rsid w:val="007D3D24"/>
    <w:rsid w:val="007E4972"/>
    <w:rsid w:val="007F5BC3"/>
    <w:rsid w:val="007F6469"/>
    <w:rsid w:val="00801C34"/>
    <w:rsid w:val="0080260D"/>
    <w:rsid w:val="00803691"/>
    <w:rsid w:val="00805592"/>
    <w:rsid w:val="008135AF"/>
    <w:rsid w:val="00816005"/>
    <w:rsid w:val="00816129"/>
    <w:rsid w:val="00817ACF"/>
    <w:rsid w:val="00822ADD"/>
    <w:rsid w:val="0083047E"/>
    <w:rsid w:val="00833AA5"/>
    <w:rsid w:val="008539E7"/>
    <w:rsid w:val="00874231"/>
    <w:rsid w:val="008820BF"/>
    <w:rsid w:val="0088284F"/>
    <w:rsid w:val="0088381F"/>
    <w:rsid w:val="0088446E"/>
    <w:rsid w:val="008A0A0C"/>
    <w:rsid w:val="008B36FF"/>
    <w:rsid w:val="008C6ACA"/>
    <w:rsid w:val="008C7D1B"/>
    <w:rsid w:val="008E2118"/>
    <w:rsid w:val="008E2257"/>
    <w:rsid w:val="008F097B"/>
    <w:rsid w:val="008F30F9"/>
    <w:rsid w:val="00900C17"/>
    <w:rsid w:val="00916226"/>
    <w:rsid w:val="00916323"/>
    <w:rsid w:val="009271FA"/>
    <w:rsid w:val="00943D4B"/>
    <w:rsid w:val="00946B50"/>
    <w:rsid w:val="00951383"/>
    <w:rsid w:val="00952910"/>
    <w:rsid w:val="00952AFE"/>
    <w:rsid w:val="009557CE"/>
    <w:rsid w:val="009632AF"/>
    <w:rsid w:val="00971830"/>
    <w:rsid w:val="009B5A81"/>
    <w:rsid w:val="009C42C2"/>
    <w:rsid w:val="009C63B9"/>
    <w:rsid w:val="009C71FB"/>
    <w:rsid w:val="009F1F4A"/>
    <w:rsid w:val="009F2184"/>
    <w:rsid w:val="009F2F4C"/>
    <w:rsid w:val="009F444F"/>
    <w:rsid w:val="009F7D90"/>
    <w:rsid w:val="00A00D8D"/>
    <w:rsid w:val="00A053B3"/>
    <w:rsid w:val="00A42D70"/>
    <w:rsid w:val="00A51F25"/>
    <w:rsid w:val="00A622FA"/>
    <w:rsid w:val="00A74743"/>
    <w:rsid w:val="00A75EAA"/>
    <w:rsid w:val="00A830F6"/>
    <w:rsid w:val="00AB5989"/>
    <w:rsid w:val="00AB6499"/>
    <w:rsid w:val="00AC7178"/>
    <w:rsid w:val="00AD7BD4"/>
    <w:rsid w:val="00AE2477"/>
    <w:rsid w:val="00AF2C95"/>
    <w:rsid w:val="00AF3127"/>
    <w:rsid w:val="00AF6E74"/>
    <w:rsid w:val="00B02F85"/>
    <w:rsid w:val="00B04857"/>
    <w:rsid w:val="00B05DFC"/>
    <w:rsid w:val="00B14E0F"/>
    <w:rsid w:val="00B151CE"/>
    <w:rsid w:val="00B1563A"/>
    <w:rsid w:val="00B262E7"/>
    <w:rsid w:val="00B31EFB"/>
    <w:rsid w:val="00B3591B"/>
    <w:rsid w:val="00B3723E"/>
    <w:rsid w:val="00B537C9"/>
    <w:rsid w:val="00B55C4A"/>
    <w:rsid w:val="00B657F5"/>
    <w:rsid w:val="00B77BED"/>
    <w:rsid w:val="00B872DF"/>
    <w:rsid w:val="00B970E3"/>
    <w:rsid w:val="00BA5AF2"/>
    <w:rsid w:val="00BB1F48"/>
    <w:rsid w:val="00BB7EF1"/>
    <w:rsid w:val="00BC0898"/>
    <w:rsid w:val="00BC79D0"/>
    <w:rsid w:val="00BD5913"/>
    <w:rsid w:val="00BF378B"/>
    <w:rsid w:val="00BF390A"/>
    <w:rsid w:val="00BF6710"/>
    <w:rsid w:val="00C10087"/>
    <w:rsid w:val="00C12E05"/>
    <w:rsid w:val="00C15B85"/>
    <w:rsid w:val="00C20A87"/>
    <w:rsid w:val="00C238B3"/>
    <w:rsid w:val="00C2749A"/>
    <w:rsid w:val="00C3070B"/>
    <w:rsid w:val="00C351A2"/>
    <w:rsid w:val="00C37EFF"/>
    <w:rsid w:val="00C53EDE"/>
    <w:rsid w:val="00C578C6"/>
    <w:rsid w:val="00C61D26"/>
    <w:rsid w:val="00C641E5"/>
    <w:rsid w:val="00C72379"/>
    <w:rsid w:val="00CA0CB7"/>
    <w:rsid w:val="00CB525B"/>
    <w:rsid w:val="00CB78BB"/>
    <w:rsid w:val="00CC0A15"/>
    <w:rsid w:val="00CC5454"/>
    <w:rsid w:val="00CF21F4"/>
    <w:rsid w:val="00D17C29"/>
    <w:rsid w:val="00D32BEA"/>
    <w:rsid w:val="00D37A12"/>
    <w:rsid w:val="00D44359"/>
    <w:rsid w:val="00D74FF1"/>
    <w:rsid w:val="00D83818"/>
    <w:rsid w:val="00D83FD7"/>
    <w:rsid w:val="00D9361C"/>
    <w:rsid w:val="00DA112A"/>
    <w:rsid w:val="00DA2FED"/>
    <w:rsid w:val="00DB0238"/>
    <w:rsid w:val="00DB0345"/>
    <w:rsid w:val="00DB0814"/>
    <w:rsid w:val="00DB77EE"/>
    <w:rsid w:val="00DC02C5"/>
    <w:rsid w:val="00DC247B"/>
    <w:rsid w:val="00DD06D6"/>
    <w:rsid w:val="00DD247A"/>
    <w:rsid w:val="00DD518F"/>
    <w:rsid w:val="00DD6F57"/>
    <w:rsid w:val="00DE6585"/>
    <w:rsid w:val="00DE7091"/>
    <w:rsid w:val="00DF7D62"/>
    <w:rsid w:val="00E0053A"/>
    <w:rsid w:val="00E02312"/>
    <w:rsid w:val="00E06A27"/>
    <w:rsid w:val="00E0762E"/>
    <w:rsid w:val="00E245D2"/>
    <w:rsid w:val="00E24646"/>
    <w:rsid w:val="00E31279"/>
    <w:rsid w:val="00E32841"/>
    <w:rsid w:val="00E34114"/>
    <w:rsid w:val="00E349EF"/>
    <w:rsid w:val="00E374E7"/>
    <w:rsid w:val="00E43300"/>
    <w:rsid w:val="00E641E7"/>
    <w:rsid w:val="00E64DDC"/>
    <w:rsid w:val="00E66332"/>
    <w:rsid w:val="00E67153"/>
    <w:rsid w:val="00E6734E"/>
    <w:rsid w:val="00E7274A"/>
    <w:rsid w:val="00E830DB"/>
    <w:rsid w:val="00EA064B"/>
    <w:rsid w:val="00EA0690"/>
    <w:rsid w:val="00EA3ED5"/>
    <w:rsid w:val="00EB7FC3"/>
    <w:rsid w:val="00EC0CEB"/>
    <w:rsid w:val="00EC112B"/>
    <w:rsid w:val="00EC19AC"/>
    <w:rsid w:val="00EC22F5"/>
    <w:rsid w:val="00ED4CA2"/>
    <w:rsid w:val="00ED5A31"/>
    <w:rsid w:val="00EE40DA"/>
    <w:rsid w:val="00EE5EA4"/>
    <w:rsid w:val="00EF7EF3"/>
    <w:rsid w:val="00F00189"/>
    <w:rsid w:val="00F04AD3"/>
    <w:rsid w:val="00F06D84"/>
    <w:rsid w:val="00F12607"/>
    <w:rsid w:val="00F14A37"/>
    <w:rsid w:val="00F2101C"/>
    <w:rsid w:val="00F41E7D"/>
    <w:rsid w:val="00F473F8"/>
    <w:rsid w:val="00F53CB9"/>
    <w:rsid w:val="00F6258C"/>
    <w:rsid w:val="00F62A67"/>
    <w:rsid w:val="00F66921"/>
    <w:rsid w:val="00F715AE"/>
    <w:rsid w:val="00F9628D"/>
    <w:rsid w:val="00F96BE1"/>
    <w:rsid w:val="00FA7033"/>
    <w:rsid w:val="00FB48EC"/>
    <w:rsid w:val="00FB4C11"/>
    <w:rsid w:val="00FC7525"/>
    <w:rsid w:val="00FD090F"/>
    <w:rsid w:val="00FE385B"/>
    <w:rsid w:val="00FE5745"/>
    <w:rsid w:val="00FF4043"/>
    <w:rsid w:val="00FF70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D4D23"/>
  <w15:docId w15:val="{ECD3D975-0822-45CC-846D-C233EA92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34E"/>
    <w:pPr>
      <w:widowControl w:val="0"/>
      <w:wordWrap w:val="0"/>
      <w:autoSpaceDE w:val="0"/>
      <w:autoSpaceDN w:val="0"/>
      <w:spacing w:after="0" w:line="310" w:lineRule="exact"/>
      <w:ind w:firstLineChars="100" w:firstLine="100"/>
      <w:jc w:val="both"/>
    </w:pPr>
    <w:rPr>
      <w:rFonts w:ascii="바탕" w:eastAsia="바탕"/>
      <w:spacing w:val="-8"/>
      <w:w w:val="95"/>
      <w:sz w:val="19"/>
    </w:rPr>
  </w:style>
  <w:style w:type="paragraph" w:styleId="1">
    <w:name w:val="heading 1"/>
    <w:basedOn w:val="a"/>
    <w:next w:val="a"/>
    <w:link w:val="1Char"/>
    <w:uiPriority w:val="9"/>
    <w:rsid w:val="00EF7E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rsid w:val="00EF7E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F7E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F7E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F7E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F7E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F7E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F7E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F7E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F7EF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F7EF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F7EF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F7EF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F7EF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F7EF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F7EF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F7EF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F7EF3"/>
    <w:rPr>
      <w:rFonts w:asciiTheme="majorHAnsi" w:eastAsiaTheme="majorEastAsia" w:hAnsiTheme="majorHAnsi" w:cstheme="majorBidi"/>
      <w:color w:val="000000" w:themeColor="text1"/>
    </w:rPr>
  </w:style>
  <w:style w:type="paragraph" w:styleId="a3">
    <w:name w:val="Title"/>
    <w:basedOn w:val="a"/>
    <w:next w:val="a"/>
    <w:link w:val="Char"/>
    <w:uiPriority w:val="10"/>
    <w:rsid w:val="00EF7EF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F7E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rsid w:val="00EF7EF3"/>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F7EF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rsid w:val="00EF7EF3"/>
    <w:pPr>
      <w:spacing w:before="160"/>
      <w:jc w:val="center"/>
    </w:pPr>
    <w:rPr>
      <w:i/>
      <w:iCs/>
      <w:color w:val="404040" w:themeColor="text1" w:themeTint="BF"/>
    </w:rPr>
  </w:style>
  <w:style w:type="character" w:customStyle="1" w:styleId="Char1">
    <w:name w:val="인용 Char"/>
    <w:basedOn w:val="a0"/>
    <w:link w:val="a5"/>
    <w:uiPriority w:val="29"/>
    <w:rsid w:val="00EF7EF3"/>
    <w:rPr>
      <w:i/>
      <w:iCs/>
      <w:color w:val="404040" w:themeColor="text1" w:themeTint="BF"/>
    </w:rPr>
  </w:style>
  <w:style w:type="paragraph" w:styleId="a6">
    <w:name w:val="List Paragraph"/>
    <w:basedOn w:val="a"/>
    <w:uiPriority w:val="34"/>
    <w:rsid w:val="00EF7EF3"/>
    <w:pPr>
      <w:ind w:left="720"/>
      <w:contextualSpacing/>
    </w:pPr>
  </w:style>
  <w:style w:type="character" w:styleId="a7">
    <w:name w:val="Intense Emphasis"/>
    <w:basedOn w:val="a0"/>
    <w:uiPriority w:val="21"/>
    <w:rsid w:val="00EF7EF3"/>
    <w:rPr>
      <w:i/>
      <w:iCs/>
      <w:color w:val="0F4761" w:themeColor="accent1" w:themeShade="BF"/>
    </w:rPr>
  </w:style>
  <w:style w:type="paragraph" w:styleId="a8">
    <w:name w:val="Intense Quote"/>
    <w:basedOn w:val="a"/>
    <w:next w:val="a"/>
    <w:link w:val="Char2"/>
    <w:uiPriority w:val="30"/>
    <w:rsid w:val="00EF7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F7EF3"/>
    <w:rPr>
      <w:i/>
      <w:iCs/>
      <w:color w:val="0F4761" w:themeColor="accent1" w:themeShade="BF"/>
    </w:rPr>
  </w:style>
  <w:style w:type="character" w:styleId="a9">
    <w:name w:val="Intense Reference"/>
    <w:basedOn w:val="a0"/>
    <w:uiPriority w:val="32"/>
    <w:rsid w:val="00EF7EF3"/>
    <w:rPr>
      <w:b/>
      <w:bCs/>
      <w:smallCaps/>
      <w:color w:val="0F4761" w:themeColor="accent1" w:themeShade="BF"/>
      <w:spacing w:val="5"/>
    </w:rPr>
  </w:style>
  <w:style w:type="paragraph" w:customStyle="1" w:styleId="abstracttitle">
    <w:name w:val="abstract title"/>
    <w:basedOn w:val="a"/>
    <w:rsid w:val="00EF7EF3"/>
    <w:pPr>
      <w:wordWrap/>
      <w:snapToGrid w:val="0"/>
      <w:spacing w:line="384" w:lineRule="auto"/>
      <w:jc w:val="center"/>
      <w:textAlignment w:val="baseline"/>
    </w:pPr>
    <w:rPr>
      <w:rFonts w:ascii="한양신명조" w:eastAsia="굴림" w:hAnsi="굴림" w:cs="굴림"/>
      <w:color w:val="000000"/>
      <w:w w:val="90"/>
      <w:kern w:val="0"/>
      <w:sz w:val="20"/>
      <w:szCs w:val="20"/>
    </w:rPr>
  </w:style>
  <w:style w:type="paragraph" w:customStyle="1" w:styleId="EndNoteBibliographyTitle">
    <w:name w:val="EndNote Bibliography Title"/>
    <w:basedOn w:val="a"/>
    <w:link w:val="EndNoteBibliographyTitleChar"/>
    <w:rsid w:val="00DA112A"/>
    <w:pPr>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A112A"/>
    <w:rPr>
      <w:rFonts w:ascii="맑은 고딕" w:eastAsia="맑은 고딕" w:hAnsi="맑은 고딕"/>
      <w:noProof/>
    </w:rPr>
  </w:style>
  <w:style w:type="paragraph" w:customStyle="1" w:styleId="EndNoteBibliography">
    <w:name w:val="EndNote Bibliography"/>
    <w:basedOn w:val="a"/>
    <w:link w:val="EndNoteBibliographyChar"/>
    <w:rsid w:val="00DA112A"/>
    <w:rPr>
      <w:rFonts w:ascii="맑은 고딕" w:eastAsia="맑은 고딕" w:hAnsi="맑은 고딕"/>
      <w:noProof/>
    </w:rPr>
  </w:style>
  <w:style w:type="character" w:customStyle="1" w:styleId="EndNoteBibliographyChar">
    <w:name w:val="EndNote Bibliography Char"/>
    <w:basedOn w:val="a0"/>
    <w:link w:val="EndNoteBibliography"/>
    <w:rsid w:val="00DA112A"/>
    <w:rPr>
      <w:rFonts w:ascii="맑은 고딕" w:eastAsia="맑은 고딕" w:hAnsi="맑은 고딕"/>
      <w:noProof/>
    </w:rPr>
  </w:style>
  <w:style w:type="paragraph" w:styleId="aa">
    <w:name w:val="header"/>
    <w:basedOn w:val="a"/>
    <w:link w:val="Char3"/>
    <w:uiPriority w:val="99"/>
    <w:unhideWhenUsed/>
    <w:rsid w:val="006E1332"/>
    <w:pPr>
      <w:tabs>
        <w:tab w:val="center" w:pos="4513"/>
        <w:tab w:val="right" w:pos="9026"/>
      </w:tabs>
      <w:snapToGrid w:val="0"/>
    </w:pPr>
  </w:style>
  <w:style w:type="character" w:customStyle="1" w:styleId="Char3">
    <w:name w:val="머리글 Char"/>
    <w:basedOn w:val="a0"/>
    <w:link w:val="aa"/>
    <w:uiPriority w:val="99"/>
    <w:rsid w:val="006E1332"/>
  </w:style>
  <w:style w:type="paragraph" w:styleId="ab">
    <w:name w:val="footer"/>
    <w:basedOn w:val="a"/>
    <w:link w:val="Char4"/>
    <w:uiPriority w:val="99"/>
    <w:unhideWhenUsed/>
    <w:rsid w:val="006E1332"/>
    <w:pPr>
      <w:tabs>
        <w:tab w:val="center" w:pos="4513"/>
        <w:tab w:val="right" w:pos="9026"/>
      </w:tabs>
      <w:snapToGrid w:val="0"/>
    </w:pPr>
  </w:style>
  <w:style w:type="character" w:customStyle="1" w:styleId="Char4">
    <w:name w:val="바닥글 Char"/>
    <w:basedOn w:val="a0"/>
    <w:link w:val="ab"/>
    <w:uiPriority w:val="99"/>
    <w:rsid w:val="006E1332"/>
  </w:style>
  <w:style w:type="character" w:styleId="ac">
    <w:name w:val="Placeholder Text"/>
    <w:basedOn w:val="a0"/>
    <w:uiPriority w:val="99"/>
    <w:semiHidden/>
    <w:rsid w:val="00390305"/>
    <w:rPr>
      <w:color w:val="666666"/>
    </w:rPr>
  </w:style>
  <w:style w:type="table" w:styleId="ad">
    <w:name w:val="Table Grid"/>
    <w:basedOn w:val="a1"/>
    <w:uiPriority w:val="39"/>
    <w:rsid w:val="00390305"/>
    <w:pPr>
      <w:spacing w:after="0"/>
      <w:jc w:val="both"/>
    </w:pPr>
    <w:rPr>
      <w:rFonts w:asciiTheme="minorHAnsi"/>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9B5A81"/>
    <w:rPr>
      <w:color w:val="467886" w:themeColor="hyperlink"/>
      <w:u w:val="single"/>
    </w:rPr>
  </w:style>
  <w:style w:type="character" w:customStyle="1" w:styleId="UnresolvedMention1">
    <w:name w:val="Unresolved Mention1"/>
    <w:basedOn w:val="a0"/>
    <w:uiPriority w:val="99"/>
    <w:semiHidden/>
    <w:unhideWhenUsed/>
    <w:rsid w:val="009B5A81"/>
    <w:rPr>
      <w:color w:val="605E5C"/>
      <w:shd w:val="clear" w:color="auto" w:fill="E1DFDD"/>
    </w:rPr>
  </w:style>
  <w:style w:type="paragraph" w:customStyle="1" w:styleId="af">
    <w:name w:val="바탕글"/>
    <w:basedOn w:val="a"/>
    <w:rsid w:val="00082324"/>
    <w:pPr>
      <w:spacing w:line="384" w:lineRule="auto"/>
      <w:textAlignment w:val="baseline"/>
    </w:pPr>
    <w:rPr>
      <w:rFonts w:ascii="함초롬바탕" w:eastAsia="굴림" w:hAnsi="굴림" w:cs="굴림"/>
      <w:color w:val="000000"/>
      <w:kern w:val="0"/>
      <w:sz w:val="20"/>
      <w:szCs w:val="20"/>
    </w:rPr>
  </w:style>
  <w:style w:type="paragraph" w:styleId="af0">
    <w:name w:val="Normal (Web)"/>
    <w:basedOn w:val="a"/>
    <w:uiPriority w:val="99"/>
    <w:semiHidden/>
    <w:unhideWhenUsed/>
    <w:rsid w:val="00433DE4"/>
    <w:rPr>
      <w:rFonts w:ascii="Times New Roman" w:hAnsi="Times New Roman" w:cs="Times New Roman"/>
      <w:sz w:val="24"/>
    </w:rPr>
  </w:style>
  <w:style w:type="character" w:styleId="af1">
    <w:name w:val="annotation reference"/>
    <w:basedOn w:val="a0"/>
    <w:uiPriority w:val="99"/>
    <w:semiHidden/>
    <w:unhideWhenUsed/>
    <w:rsid w:val="00F715AE"/>
    <w:rPr>
      <w:sz w:val="16"/>
      <w:szCs w:val="16"/>
    </w:rPr>
  </w:style>
  <w:style w:type="paragraph" w:styleId="af2">
    <w:name w:val="annotation text"/>
    <w:basedOn w:val="a"/>
    <w:link w:val="Char5"/>
    <w:uiPriority w:val="99"/>
    <w:semiHidden/>
    <w:unhideWhenUsed/>
    <w:rsid w:val="00F715AE"/>
    <w:rPr>
      <w:sz w:val="20"/>
      <w:szCs w:val="20"/>
    </w:rPr>
  </w:style>
  <w:style w:type="character" w:customStyle="1" w:styleId="Char5">
    <w:name w:val="메모 텍스트 Char"/>
    <w:basedOn w:val="a0"/>
    <w:link w:val="af2"/>
    <w:uiPriority w:val="99"/>
    <w:semiHidden/>
    <w:rsid w:val="00F715AE"/>
    <w:rPr>
      <w:sz w:val="20"/>
      <w:szCs w:val="20"/>
    </w:rPr>
  </w:style>
  <w:style w:type="paragraph" w:styleId="af3">
    <w:name w:val="annotation subject"/>
    <w:basedOn w:val="af2"/>
    <w:next w:val="af2"/>
    <w:link w:val="Char6"/>
    <w:uiPriority w:val="99"/>
    <w:semiHidden/>
    <w:unhideWhenUsed/>
    <w:rsid w:val="00F715AE"/>
    <w:rPr>
      <w:b/>
      <w:bCs/>
    </w:rPr>
  </w:style>
  <w:style w:type="character" w:customStyle="1" w:styleId="Char6">
    <w:name w:val="메모 주제 Char"/>
    <w:basedOn w:val="Char5"/>
    <w:link w:val="af3"/>
    <w:uiPriority w:val="99"/>
    <w:semiHidden/>
    <w:rsid w:val="00F715AE"/>
    <w:rPr>
      <w:b/>
      <w:bCs/>
      <w:sz w:val="20"/>
      <w:szCs w:val="20"/>
    </w:rPr>
  </w:style>
  <w:style w:type="paragraph" w:styleId="af4">
    <w:name w:val="footnote text"/>
    <w:basedOn w:val="a"/>
    <w:link w:val="Char7"/>
    <w:uiPriority w:val="99"/>
    <w:semiHidden/>
    <w:unhideWhenUsed/>
    <w:rsid w:val="006731F5"/>
    <w:rPr>
      <w:sz w:val="20"/>
      <w:szCs w:val="20"/>
    </w:rPr>
  </w:style>
  <w:style w:type="character" w:customStyle="1" w:styleId="Char7">
    <w:name w:val="각주 텍스트 Char"/>
    <w:basedOn w:val="a0"/>
    <w:link w:val="af4"/>
    <w:uiPriority w:val="99"/>
    <w:semiHidden/>
    <w:rsid w:val="006731F5"/>
    <w:rPr>
      <w:sz w:val="20"/>
      <w:szCs w:val="20"/>
    </w:rPr>
  </w:style>
  <w:style w:type="character" w:styleId="af5">
    <w:name w:val="footnote reference"/>
    <w:basedOn w:val="a0"/>
    <w:uiPriority w:val="99"/>
    <w:semiHidden/>
    <w:unhideWhenUsed/>
    <w:rsid w:val="006731F5"/>
    <w:rPr>
      <w:vertAlign w:val="superscript"/>
    </w:rPr>
  </w:style>
  <w:style w:type="paragraph" w:styleId="af6">
    <w:name w:val="Balloon Text"/>
    <w:basedOn w:val="a"/>
    <w:link w:val="Char8"/>
    <w:uiPriority w:val="99"/>
    <w:semiHidden/>
    <w:unhideWhenUsed/>
    <w:rsid w:val="00C10087"/>
    <w:rPr>
      <w:rFonts w:asciiTheme="majorHAnsi" w:eastAsiaTheme="majorEastAsia" w:hAnsiTheme="majorHAnsi" w:cstheme="majorBidi"/>
      <w:sz w:val="18"/>
      <w:szCs w:val="18"/>
    </w:rPr>
  </w:style>
  <w:style w:type="character" w:customStyle="1" w:styleId="Char8">
    <w:name w:val="풍선 도움말 텍스트 Char"/>
    <w:basedOn w:val="a0"/>
    <w:link w:val="af6"/>
    <w:uiPriority w:val="99"/>
    <w:semiHidden/>
    <w:rsid w:val="00C10087"/>
    <w:rPr>
      <w:rFonts w:asciiTheme="majorHAnsi" w:eastAsiaTheme="majorEastAsia" w:hAnsiTheme="majorHAnsi" w:cstheme="majorBidi"/>
      <w:sz w:val="18"/>
      <w:szCs w:val="18"/>
    </w:rPr>
  </w:style>
  <w:style w:type="paragraph" w:customStyle="1" w:styleId="10">
    <w:name w:val="1."/>
    <w:basedOn w:val="a"/>
    <w:qFormat/>
    <w:rsid w:val="005748F4"/>
    <w:pPr>
      <w:spacing w:before="312" w:after="300" w:line="300" w:lineRule="exact"/>
      <w:ind w:firstLineChars="0" w:firstLine="0"/>
    </w:pPr>
    <w:rPr>
      <w:rFonts w:hAnsi="바탕"/>
      <w:b/>
      <w:bCs/>
      <w:sz w:val="26"/>
      <w:szCs w:val="26"/>
    </w:rPr>
  </w:style>
  <w:style w:type="paragraph" w:customStyle="1" w:styleId="11">
    <w:name w:val="서론(1"/>
    <w:aliases w:val="2,3)"/>
    <w:basedOn w:val="a"/>
    <w:rsid w:val="005748F4"/>
    <w:pPr>
      <w:keepNext/>
      <w:shd w:val="clear" w:color="auto" w:fill="FFFFFF"/>
      <w:snapToGrid w:val="0"/>
      <w:spacing w:before="300" w:after="312" w:line="288" w:lineRule="auto"/>
      <w:textAlignment w:val="baseline"/>
    </w:pPr>
    <w:rPr>
      <w:rFonts w:ascii="굴림" w:eastAsia="굴림" w:hAnsi="굴림" w:cs="굴림"/>
      <w:color w:val="000000"/>
      <w:spacing w:val="-10"/>
      <w:kern w:val="0"/>
      <w:sz w:val="26"/>
      <w:szCs w:val="26"/>
    </w:rPr>
  </w:style>
  <w:style w:type="paragraph" w:customStyle="1" w:styleId="110">
    <w:name w:val="1.1"/>
    <w:basedOn w:val="a"/>
    <w:qFormat/>
    <w:rsid w:val="00CA0CB7"/>
    <w:pPr>
      <w:spacing w:before="284" w:after="164" w:line="240" w:lineRule="auto"/>
      <w:ind w:firstLineChars="0" w:firstLine="0"/>
    </w:pPr>
    <w:rPr>
      <w:rFonts w:asciiTheme="majorHAnsi" w:eastAsiaTheme="majorHAnsi" w:hAnsiTheme="majorHAnsi"/>
      <w:sz w:val="22"/>
      <w:szCs w:val="22"/>
    </w:rPr>
  </w:style>
  <w:style w:type="paragraph" w:customStyle="1" w:styleId="eq1">
    <w:name w:val="eq(1)"/>
    <w:basedOn w:val="a"/>
    <w:qFormat/>
    <w:rsid w:val="00916323"/>
    <w:pPr>
      <w:widowControl/>
      <w:wordWrap/>
      <w:autoSpaceDE/>
      <w:autoSpaceDN/>
      <w:spacing w:before="200" w:after="200" w:line="240" w:lineRule="auto"/>
      <w:ind w:firstLineChars="0" w:firstLine="0"/>
      <w:jc w:val="center"/>
    </w:pPr>
    <w:rPr>
      <w:rFonts w:eastAsiaTheme="minorEastAsia" w:hAnsi="바탕"/>
      <w:szCs w:val="22"/>
    </w:rPr>
  </w:style>
  <w:style w:type="paragraph" w:customStyle="1" w:styleId="af7">
    <w:name w:val="쪽 번호"/>
    <w:basedOn w:val="a"/>
    <w:rsid w:val="00336FD4"/>
    <w:pPr>
      <w:shd w:val="clear" w:color="auto" w:fill="FFFFFF"/>
      <w:snapToGrid w:val="0"/>
      <w:spacing w:line="384" w:lineRule="auto"/>
      <w:ind w:firstLineChars="0" w:firstLine="0"/>
      <w:textAlignment w:val="baseline"/>
    </w:pPr>
    <w:rPr>
      <w:rFonts w:ascii="굴림" w:eastAsia="굴림" w:hAnsi="굴림" w:cs="굴림"/>
      <w:color w:val="000000"/>
      <w:spacing w:val="-16"/>
      <w:w w:val="90"/>
      <w:kern w:val="0"/>
      <w:sz w:val="18"/>
      <w:szCs w:val="18"/>
    </w:rPr>
  </w:style>
  <w:style w:type="paragraph" w:customStyle="1" w:styleId="af8">
    <w:name w:val="머리말"/>
    <w:basedOn w:val="a"/>
    <w:rsid w:val="00336FD4"/>
    <w:pPr>
      <w:shd w:val="clear" w:color="auto" w:fill="FFFFFF"/>
      <w:tabs>
        <w:tab w:val="left" w:pos="806"/>
        <w:tab w:val="left" w:pos="1612"/>
        <w:tab w:val="left" w:pos="2420"/>
        <w:tab w:val="left" w:pos="3226"/>
        <w:tab w:val="left" w:pos="4032"/>
        <w:tab w:val="left" w:pos="4838"/>
        <w:tab w:val="left" w:pos="5644"/>
        <w:tab w:val="left" w:pos="6452"/>
        <w:tab w:val="left" w:pos="7258"/>
        <w:tab w:val="left" w:pos="8064"/>
        <w:tab w:val="left" w:pos="8870"/>
        <w:tab w:val="left" w:pos="10484"/>
        <w:tab w:val="left" w:pos="11290"/>
        <w:tab w:val="left" w:pos="12096"/>
        <w:tab w:val="left" w:pos="12902"/>
        <w:tab w:val="left" w:pos="13708"/>
        <w:tab w:val="left" w:pos="14516"/>
        <w:tab w:val="left" w:pos="15322"/>
        <w:tab w:val="left" w:pos="16128"/>
        <w:tab w:val="left" w:pos="16934"/>
        <w:tab w:val="left" w:pos="17740"/>
        <w:tab w:val="left" w:pos="18548"/>
        <w:tab w:val="left" w:pos="19354"/>
        <w:tab w:val="left" w:pos="20160"/>
        <w:tab w:val="left" w:pos="20966"/>
        <w:tab w:val="left" w:pos="21772"/>
        <w:tab w:val="left" w:pos="22580"/>
        <w:tab w:val="left" w:pos="23386"/>
        <w:tab w:val="left" w:pos="24192"/>
        <w:tab w:val="left" w:pos="24998"/>
        <w:tab w:val="left" w:pos="25804"/>
      </w:tabs>
      <w:wordWrap/>
      <w:snapToGrid w:val="0"/>
      <w:spacing w:line="360" w:lineRule="auto"/>
      <w:ind w:firstLineChars="0" w:firstLine="0"/>
      <w:jc w:val="center"/>
      <w:textAlignment w:val="baseline"/>
    </w:pPr>
    <w:rPr>
      <w:rFonts w:ascii="굴림" w:eastAsia="굴림" w:hAnsi="굴림" w:cs="굴림"/>
      <w:color w:val="000000"/>
      <w:spacing w:val="-10"/>
      <w:w w:val="96"/>
      <w:kern w:val="0"/>
      <w:sz w:val="18"/>
      <w:szCs w:val="18"/>
    </w:rPr>
  </w:style>
  <w:style w:type="paragraph" w:customStyle="1" w:styleId="af9">
    <w:name w:val="한글논자"/>
    <w:basedOn w:val="a"/>
    <w:rsid w:val="00336FD4"/>
    <w:pPr>
      <w:shd w:val="clear" w:color="auto" w:fill="FFFFFF"/>
      <w:wordWrap/>
      <w:snapToGrid w:val="0"/>
      <w:spacing w:line="384" w:lineRule="auto"/>
      <w:ind w:firstLineChars="0" w:firstLine="0"/>
      <w:jc w:val="center"/>
      <w:textAlignment w:val="baseline"/>
    </w:pPr>
    <w:rPr>
      <w:rFonts w:ascii="굴림" w:eastAsia="굴림" w:hAnsi="굴림" w:cs="굴림"/>
      <w:color w:val="000000"/>
      <w:spacing w:val="0"/>
      <w:kern w:val="0"/>
      <w:sz w:val="22"/>
      <w:szCs w:val="22"/>
    </w:rPr>
  </w:style>
  <w:style w:type="paragraph" w:customStyle="1" w:styleId="Title1">
    <w:name w:val="Title1"/>
    <w:basedOn w:val="a"/>
    <w:qFormat/>
    <w:rsid w:val="00B55C4A"/>
    <w:pPr>
      <w:wordWrap/>
      <w:snapToGrid w:val="0"/>
      <w:spacing w:before="907" w:after="568"/>
      <w:ind w:firstLineChars="0" w:firstLine="0"/>
      <w:jc w:val="center"/>
      <w:textAlignment w:val="baseline"/>
    </w:pPr>
    <w:rPr>
      <w:rFonts w:hAnsi="바탕" w:cs="바탕"/>
      <w:color w:val="000000"/>
      <w:spacing w:val="-10"/>
      <w:kern w:val="0"/>
      <w:sz w:val="34"/>
      <w:szCs w:val="34"/>
    </w:rPr>
  </w:style>
  <w:style w:type="paragraph" w:customStyle="1" w:styleId="Name">
    <w:name w:val="Name"/>
    <w:basedOn w:val="a"/>
    <w:qFormat/>
    <w:rsid w:val="00C37EFF"/>
    <w:pPr>
      <w:wordWrap/>
      <w:snapToGrid w:val="0"/>
      <w:spacing w:line="384" w:lineRule="auto"/>
      <w:ind w:firstLineChars="0" w:firstLine="0"/>
      <w:jc w:val="center"/>
      <w:textAlignment w:val="baseline"/>
    </w:pPr>
    <w:rPr>
      <w:rFonts w:hAnsi="바탕" w:cs="Microsoft YaHei"/>
      <w:color w:val="000000"/>
      <w:w w:val="100"/>
      <w:kern w:val="0"/>
      <w:sz w:val="22"/>
      <w:szCs w:val="22"/>
    </w:rPr>
  </w:style>
  <w:style w:type="paragraph" w:customStyle="1" w:styleId="afa">
    <w:name w:val="영문제목"/>
    <w:basedOn w:val="a"/>
    <w:qFormat/>
    <w:rsid w:val="009C71FB"/>
    <w:pPr>
      <w:wordWrap/>
      <w:snapToGrid w:val="0"/>
      <w:spacing w:before="360" w:after="396"/>
      <w:ind w:firstLineChars="0" w:firstLine="0"/>
      <w:jc w:val="center"/>
      <w:textAlignment w:val="baseline"/>
    </w:pPr>
    <w:rPr>
      <w:rFonts w:asciiTheme="majorHAnsi" w:eastAsiaTheme="majorHAnsi" w:hAnsiTheme="majorHAnsi" w:cs="Times New Roman"/>
      <w:color w:val="000000"/>
      <w:kern w:val="0"/>
      <w:sz w:val="24"/>
    </w:rPr>
  </w:style>
  <w:style w:type="paragraph" w:customStyle="1" w:styleId="afb">
    <w:name w:val="영문명"/>
    <w:basedOn w:val="a"/>
    <w:qFormat/>
    <w:rsid w:val="00C37EFF"/>
    <w:pPr>
      <w:wordWrap/>
      <w:snapToGrid w:val="0"/>
      <w:spacing w:line="240" w:lineRule="auto"/>
      <w:ind w:firstLineChars="0" w:firstLine="0"/>
      <w:jc w:val="center"/>
      <w:textAlignment w:val="baseline"/>
    </w:pPr>
    <w:rPr>
      <w:rFonts w:hAnsi="바탕" w:cs="Times New Roman"/>
      <w:color w:val="000000"/>
      <w:w w:val="100"/>
      <w:kern w:val="0"/>
      <w:sz w:val="20"/>
      <w:szCs w:val="20"/>
    </w:rPr>
  </w:style>
  <w:style w:type="paragraph" w:customStyle="1" w:styleId="afc">
    <w:name w:val="국문소속"/>
    <w:basedOn w:val="a"/>
    <w:qFormat/>
    <w:rsid w:val="00625186"/>
    <w:pPr>
      <w:snapToGrid w:val="0"/>
      <w:spacing w:line="432" w:lineRule="auto"/>
      <w:ind w:firstLineChars="0" w:firstLine="0"/>
      <w:jc w:val="center"/>
      <w:textAlignment w:val="baseline"/>
    </w:pPr>
    <w:rPr>
      <w:rFonts w:hAnsi="바탕" w:cs="굴림"/>
      <w:color w:val="000000"/>
      <w:kern w:val="0"/>
      <w:sz w:val="21"/>
      <w:szCs w:val="21"/>
    </w:rPr>
  </w:style>
  <w:style w:type="paragraph" w:customStyle="1" w:styleId="afd">
    <w:name w:val="영문소속"/>
    <w:basedOn w:val="a"/>
    <w:qFormat/>
    <w:rsid w:val="00625186"/>
    <w:pPr>
      <w:snapToGrid w:val="0"/>
      <w:spacing w:after="510"/>
      <w:ind w:firstLineChars="0" w:firstLine="0"/>
      <w:jc w:val="center"/>
      <w:textAlignment w:val="baseline"/>
    </w:pPr>
    <w:rPr>
      <w:rFonts w:hAnsi="바탕" w:cs="Times New Roman"/>
      <w:color w:val="000000"/>
      <w:kern w:val="0"/>
      <w:sz w:val="17"/>
      <w:szCs w:val="17"/>
    </w:rPr>
  </w:style>
  <w:style w:type="paragraph" w:customStyle="1" w:styleId="Astract">
    <w:name w:val="Astract"/>
    <w:basedOn w:val="a"/>
    <w:qFormat/>
    <w:rsid w:val="00B14E0F"/>
    <w:pPr>
      <w:widowControl/>
      <w:spacing w:line="240" w:lineRule="exact"/>
      <w:ind w:firstLine="174"/>
    </w:pPr>
    <w:rPr>
      <w:rFonts w:ascii="Times New Roman" w:eastAsia="바탕체" w:hAnsi="Times New Roman" w:cs="Times New Roman"/>
      <w:sz w:val="20"/>
      <w:szCs w:val="20"/>
    </w:rPr>
  </w:style>
  <w:style w:type="paragraph" w:customStyle="1" w:styleId="keyword">
    <w:name w:val="keyword"/>
    <w:basedOn w:val="a"/>
    <w:qFormat/>
    <w:rsid w:val="00B14E0F"/>
    <w:pPr>
      <w:widowControl/>
      <w:spacing w:line="240" w:lineRule="exact"/>
      <w:ind w:firstLine="174"/>
    </w:pPr>
    <w:rPr>
      <w:rFonts w:ascii="Times" w:eastAsia="바탕체" w:hAnsi="Times"/>
      <w:sz w:val="20"/>
      <w:szCs w:val="20"/>
    </w:rPr>
  </w:style>
  <w:style w:type="paragraph" w:customStyle="1" w:styleId="afe">
    <w:name w:val="각주"/>
    <w:basedOn w:val="af4"/>
    <w:qFormat/>
    <w:rsid w:val="002D3C78"/>
    <w:pPr>
      <w:spacing w:line="240" w:lineRule="exact"/>
      <w:ind w:firstLineChars="0" w:firstLine="0"/>
    </w:pPr>
    <w:rPr>
      <w:rFonts w:hAnsi="바탕"/>
      <w:sz w:val="17"/>
      <w:szCs w:val="17"/>
    </w:rPr>
  </w:style>
  <w:style w:type="paragraph" w:customStyle="1" w:styleId="aff">
    <w:name w:val="논문접수일"/>
    <w:basedOn w:val="af4"/>
    <w:rsid w:val="002D3C78"/>
    <w:pPr>
      <w:spacing w:line="240" w:lineRule="exact"/>
      <w:ind w:firstLineChars="0" w:firstLine="0"/>
    </w:pPr>
    <w:rPr>
      <w:rFonts w:asciiTheme="majorEastAsia" w:eastAsiaTheme="majorEastAsia" w:hAnsiTheme="majorEastAsia"/>
      <w:w w:val="100"/>
      <w:sz w:val="17"/>
      <w:szCs w:val="17"/>
    </w:rPr>
  </w:style>
  <w:style w:type="paragraph" w:customStyle="1" w:styleId="12">
    <w:name w:val="머리말1"/>
    <w:basedOn w:val="a"/>
    <w:qFormat/>
    <w:rsid w:val="0056067D"/>
    <w:pPr>
      <w:ind w:firstLineChars="0" w:firstLine="0"/>
      <w:jc w:val="center"/>
    </w:pPr>
    <w:rPr>
      <w:w w:val="96"/>
      <w:kern w:val="0"/>
      <w:sz w:val="18"/>
      <w:szCs w:val="18"/>
    </w:rPr>
  </w:style>
  <w:style w:type="paragraph" w:customStyle="1" w:styleId="aff0">
    <w:name w:val="참고문헌"/>
    <w:basedOn w:val="a"/>
    <w:qFormat/>
    <w:rsid w:val="008F097B"/>
    <w:pPr>
      <w:ind w:leftChars="100" w:left="532" w:hangingChars="224" w:hanging="368"/>
    </w:pPr>
  </w:style>
  <w:style w:type="paragraph" w:customStyle="1" w:styleId="aff1">
    <w:name w:val="&lt;표제목&gt;"/>
    <w:basedOn w:val="a"/>
    <w:qFormat/>
    <w:rsid w:val="009F444F"/>
    <w:pPr>
      <w:spacing w:after="60"/>
      <w:ind w:firstLineChars="0" w:firstLine="0"/>
      <w:jc w:val="center"/>
    </w:pPr>
    <w:rPr>
      <w:rFonts w:asciiTheme="minorEastAsia" w:eastAsiaTheme="minorEastAsia" w:hAnsiTheme="minorEastAsia"/>
      <w:kern w:val="0"/>
      <w:sz w:val="18"/>
      <w:szCs w:val="18"/>
    </w:rPr>
  </w:style>
  <w:style w:type="paragraph" w:customStyle="1" w:styleId="aff2">
    <w:name w:val="표내용"/>
    <w:basedOn w:val="a"/>
    <w:qFormat/>
    <w:rsid w:val="009F444F"/>
    <w:pPr>
      <w:spacing w:line="260" w:lineRule="exact"/>
      <w:ind w:firstLineChars="0" w:firstLine="0"/>
    </w:pPr>
    <w:rPr>
      <w:kern w:val="0"/>
      <w:sz w:val="18"/>
      <w:szCs w:val="18"/>
    </w:rPr>
  </w:style>
  <w:style w:type="table" w:customStyle="1" w:styleId="aff3">
    <w:name w:val="경영과학 표선"/>
    <w:basedOn w:val="a1"/>
    <w:uiPriority w:val="99"/>
    <w:qFormat/>
    <w:rsid w:val="00762488"/>
    <w:pPr>
      <w:spacing w:after="0"/>
      <w:jc w:val="center"/>
    </w:pPr>
    <w:rPr>
      <w:sz w:val="1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left w:w="0" w:type="dxa"/>
        <w:right w:w="0" w:type="dxa"/>
      </w:tcMar>
      <w:vAlign w:val="center"/>
    </w:tcPr>
    <w:tblStylePr w:type="firstRow">
      <w:tblPr/>
      <w:tcPr>
        <w:tcBorders>
          <w:bottom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198">
      <w:bodyDiv w:val="1"/>
      <w:marLeft w:val="0"/>
      <w:marRight w:val="0"/>
      <w:marTop w:val="0"/>
      <w:marBottom w:val="0"/>
      <w:divBdr>
        <w:top w:val="none" w:sz="0" w:space="0" w:color="auto"/>
        <w:left w:val="none" w:sz="0" w:space="0" w:color="auto"/>
        <w:bottom w:val="none" w:sz="0" w:space="0" w:color="auto"/>
        <w:right w:val="none" w:sz="0" w:space="0" w:color="auto"/>
      </w:divBdr>
    </w:div>
    <w:div w:id="224490051">
      <w:bodyDiv w:val="1"/>
      <w:marLeft w:val="0"/>
      <w:marRight w:val="0"/>
      <w:marTop w:val="0"/>
      <w:marBottom w:val="0"/>
      <w:divBdr>
        <w:top w:val="none" w:sz="0" w:space="0" w:color="auto"/>
        <w:left w:val="none" w:sz="0" w:space="0" w:color="auto"/>
        <w:bottom w:val="none" w:sz="0" w:space="0" w:color="auto"/>
        <w:right w:val="none" w:sz="0" w:space="0" w:color="auto"/>
      </w:divBdr>
    </w:div>
    <w:div w:id="1221593792">
      <w:bodyDiv w:val="1"/>
      <w:marLeft w:val="0"/>
      <w:marRight w:val="0"/>
      <w:marTop w:val="0"/>
      <w:marBottom w:val="0"/>
      <w:divBdr>
        <w:top w:val="none" w:sz="0" w:space="0" w:color="auto"/>
        <w:left w:val="none" w:sz="0" w:space="0" w:color="auto"/>
        <w:bottom w:val="none" w:sz="0" w:space="0" w:color="auto"/>
        <w:right w:val="none" w:sz="0" w:space="0" w:color="auto"/>
      </w:divBdr>
    </w:div>
    <w:div w:id="1768042626">
      <w:bodyDiv w:val="1"/>
      <w:marLeft w:val="0"/>
      <w:marRight w:val="0"/>
      <w:marTop w:val="0"/>
      <w:marBottom w:val="0"/>
      <w:divBdr>
        <w:top w:val="none" w:sz="0" w:space="0" w:color="auto"/>
        <w:left w:val="none" w:sz="0" w:space="0" w:color="auto"/>
        <w:bottom w:val="none" w:sz="0" w:space="0" w:color="auto"/>
        <w:right w:val="none" w:sz="0" w:space="0" w:color="auto"/>
      </w:divBdr>
    </w:div>
    <w:div w:id="189241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39D2A-8545-41CD-BD7A-74667B385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1816</Words>
  <Characters>7667</Characters>
  <Application>Microsoft Office Word</Application>
  <DocSecurity>0</DocSecurity>
  <Lines>348</Lines>
  <Paragraphs>121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seamark2021@outlook.kr</dc:creator>
  <cp:lastModifiedBy>수빈 김</cp:lastModifiedBy>
  <cp:revision>11</cp:revision>
  <cp:lastPrinted>2026-03-19T08:08:00Z</cp:lastPrinted>
  <dcterms:created xsi:type="dcterms:W3CDTF">2026-03-19T07:31:00Z</dcterms:created>
  <dcterms:modified xsi:type="dcterms:W3CDTF">2026-06-21T12:59:00Z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