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SORTEE-Github-Hackathon/manuscript@8d5bc4e</w:t>
        </w:r>
      </w:hyperlink>
      <w:r>
        <w:t xml:space="preserve"> </w:t>
      </w:r>
      <w:r>
        <w:t xml:space="preserve">on April 23,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pStyle w:val="FirstParagraph"/>
      </w:pPr>
      <w:r>
        <w:t xml:space="preserve">†</w:t>
      </w:r>
      <w:r>
        <w:t xml:space="preserve"> </w:t>
      </w:r>
      <w:r>
        <w:t xml:space="preserve">and</w:t>
      </w:r>
      <w:r>
        <w:t xml:space="preserve"> </w:t>
      </w:r>
      <w:r>
        <w:t xml:space="preserve">††</w:t>
      </w:r>
      <w:r>
        <w:t xml:space="preserve"> </w:t>
      </w:r>
      <w:r>
        <w:t xml:space="preserve">— These authors contributed equally to this work.</w:t>
      </w:r>
    </w:p>
    <w:bookmarkStart w:id="211" w:name="correspondence"/>
    <w:p>
      <w:pPr>
        <w:pStyle w:val="BodyText"/>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April 23,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April 23,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April 23,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April 23,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April 23,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April 23,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April 23,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April 23,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April 23,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April 23,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4">
        <w:r>
          <w:rPr>
            <w:rStyle w:val="Hyperlink"/>
          </w:rPr>
          <w:t xml:space="preserve">https://doi.org/10.1111/geb.13346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April 23,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8d5bc4ece59c37b94e74db337e837df52f6ac713/"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8d5bc4ece59c37b94e74db337e837df52f6ac713"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8d5bc4ece59c37b94e74db337e837df52f6ac713/"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8d5bc4ece59c37b94e74db337e837df52f6ac713"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2023-04-23T16:33:36Z</dcterms:created>
  <dcterms:modified xsi:type="dcterms:W3CDTF">2023-04-23T16:33:36Z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2023-04-23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