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SORTEE-Github-Hackathon/manuscript@dadc33c</w:t>
        </w:r>
      </w:hyperlink>
      <w:r>
        <w:t xml:space="preserve"> </w:t>
      </w:r>
      <w:r>
        <w:t xml:space="preserve">on March 14,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pStyle w:val="FirstParagraph"/>
      </w:pPr>
      <w:r>
        <w:t xml:space="preserve">†</w:t>
      </w:r>
      <w:r>
        <w:t xml:space="preserve"> </w:t>
      </w:r>
      <w:r>
        <w:t xml:space="preserve">and</w:t>
      </w:r>
      <w:r>
        <w:t xml:space="preserve"> </w:t>
      </w:r>
      <w:r>
        <w:t xml:space="preserve">††</w:t>
      </w:r>
      <w:r>
        <w:t xml:space="preserve"> </w:t>
      </w:r>
      <w:r>
        <w:t xml:space="preserve">— These authors contributed equally to this work.</w:t>
      </w:r>
    </w:p>
    <w:bookmarkStart w:id="211" w:name="correspondence"/>
    <w:p>
      <w:pPr>
        <w:pStyle w:val="BodyText"/>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w:t>
      </w:r>
      <w:r>
        <w:t xml:space="preserve"> </w:t>
      </w:r>
      <w:r>
        <w:t xml:space="preserve">in Ecology and Evolutionary Biology. In the first column, we group</w:t>
      </w:r>
      <w:r>
        <w:t xml:space="preserve"> </w:t>
      </w:r>
      <w:r>
        <w:t xml:space="preserve">platforms for collaboration into broad guilds. The second column lists</w:t>
      </w:r>
      <w:r>
        <w:t xml:space="preserve"> </w:t>
      </w:r>
      <w:r>
        <w:t xml:space="preserve">the platform for collaboration. The remaining columns indicate whether</w:t>
      </w:r>
      <w:r>
        <w:t xml:space="preserve"> </w:t>
      </w:r>
      <w:r>
        <w:t xml:space="preserve">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7" w:name="references"/>
    <w:p>
      <w:pPr>
        <w:pStyle w:val="Heading2"/>
      </w:pPr>
      <w:r>
        <w:t xml:space="preserve">References</w:t>
      </w:r>
    </w:p>
    <w:bookmarkStart w:id="446" w:name="refs"/>
    <w:bookmarkStart w:id="295" w:name="ref-s91uGRZ2"/>
    <w:p>
      <w:pPr>
        <w:pStyle w:val="Bibliography"/>
      </w:pPr>
      <w:r>
        <w:rPr>
          <w:iCs/>
          <w:i/>
        </w:rPr>
        <w:t xml:space="preserve">About code owners</w:t>
      </w:r>
      <w:r>
        <w:t xml:space="preserve">. (n.d.). GitHub Docs. Retrieved March 13,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13,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13,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13,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Kembel, S., &amp; Peres-Neto, P.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9)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13,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13,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13,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13,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13,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13,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4">
        <w:r>
          <w:rPr>
            <w:rStyle w:val="Hyperlink"/>
          </w:rPr>
          <w:t xml:space="preserve">https://doi.org/10.1111/geb.13346</w:t>
        </w:r>
      </w:hyperlink>
    </w:p>
    <w:bookmarkEnd w:id="415"/>
    <w:bookmarkStart w:id="41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6">
        <w:r>
          <w:rPr>
            <w:rStyle w:val="Hyperlink"/>
          </w:rPr>
          <w:t xml:space="preserve">https://doi.org/10.12688/f1000research.9315.1</w:t>
        </w:r>
      </w:hyperlink>
    </w:p>
    <w:bookmarkEnd w:id="417"/>
    <w:bookmarkStart w:id="41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8">
        <w:r>
          <w:rPr>
            <w:rStyle w:val="Hyperlink"/>
          </w:rPr>
          <w:t xml:space="preserve">https://doi.org/10.1890/080141</w:t>
        </w:r>
      </w:hyperlink>
    </w:p>
    <w:bookmarkEnd w:id="419"/>
    <w:bookmarkStart w:id="42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0">
        <w:r>
          <w:rPr>
            <w:rStyle w:val="Hyperlink"/>
          </w:rPr>
          <w:t xml:space="preserve">https://doi.org/10.1038/nj7142-347a</w:t>
        </w:r>
      </w:hyperlink>
    </w:p>
    <w:bookmarkEnd w:id="421"/>
    <w:bookmarkStart w:id="42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2">
        <w:r>
          <w:rPr>
            <w:rStyle w:val="Hyperlink"/>
          </w:rPr>
          <w:t xml:space="preserve">https://doi.org/10.12688/f1000research.5930.2</w:t>
        </w:r>
      </w:hyperlink>
    </w:p>
    <w:bookmarkEnd w:id="423"/>
    <w:bookmarkStart w:id="42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4">
        <w:r>
          <w:rPr>
            <w:rStyle w:val="Hyperlink"/>
          </w:rPr>
          <w:t xml:space="preserve">https://doi.org/10.1145/3341525.3387370</w:t>
        </w:r>
      </w:hyperlink>
    </w:p>
    <w:bookmarkEnd w:id="425"/>
    <w:bookmarkStart w:id="42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6">
        <w:r>
          <w:rPr>
            <w:rStyle w:val="Hyperlink"/>
          </w:rPr>
          <w:t xml:space="preserve">https://doi.org/10.1109/ms.2012.61</w:t>
        </w:r>
      </w:hyperlink>
    </w:p>
    <w:bookmarkEnd w:id="427"/>
    <w:bookmarkStart w:id="42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8">
        <w:r>
          <w:rPr>
            <w:rStyle w:val="Hyperlink"/>
          </w:rPr>
          <w:t xml:space="preserve">https://doi.org/10.1371/journal.pone.0134826</w:t>
        </w:r>
      </w:hyperlink>
    </w:p>
    <w:bookmarkEnd w:id="429"/>
    <w:bookmarkStart w:id="43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0">
        <w:r>
          <w:rPr>
            <w:rStyle w:val="Hyperlink"/>
          </w:rPr>
          <w:t xml:space="preserve">https://doi.org/10.1371/journal.pone.0229003</w:t>
        </w:r>
      </w:hyperlink>
    </w:p>
    <w:bookmarkEnd w:id="431"/>
    <w:bookmarkStart w:id="43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2">
        <w:r>
          <w:rPr>
            <w:rStyle w:val="Hyperlink"/>
          </w:rPr>
          <w:t xml:space="preserve">https://doi.org/10.1187/cbe.13-12-0241</w:t>
        </w:r>
      </w:hyperlink>
    </w:p>
    <w:bookmarkEnd w:id="433"/>
    <w:bookmarkStart w:id="435" w:name="ref-oGbKxHzj"/>
    <w:p>
      <w:pPr>
        <w:pStyle w:val="Bibliography"/>
      </w:pPr>
      <w:r>
        <w:rPr>
          <w:iCs/>
          <w:i/>
        </w:rPr>
        <w:t xml:space="preserve">Using Git and GitHub</w:t>
      </w:r>
      <w:r>
        <w:t xml:space="preserve">. (n.d.). Retrieved March 13, 2023, from</w:t>
      </w:r>
      <w:r>
        <w:t xml:space="preserve"> </w:t>
      </w:r>
      <w:hyperlink r:id="rId434">
        <w:r>
          <w:rPr>
            <w:rStyle w:val="Hyperlink"/>
          </w:rPr>
          <w:t xml:space="preserve">https://www.overleaf.com/learn/how-to/Using_Git_and_GitHub</w:t>
        </w:r>
      </w:hyperlink>
    </w:p>
    <w:bookmarkEnd w:id="435"/>
    <w:bookmarkStart w:id="437"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6">
        <w:r>
          <w:rPr>
            <w:rStyle w:val="Hyperlink"/>
          </w:rPr>
          <w:t xml:space="preserve">https://doi.org/10.1038/d41586-020-00287-y</w:t>
        </w:r>
      </w:hyperlink>
    </w:p>
    <w:bookmarkEnd w:id="437"/>
    <w:bookmarkStart w:id="43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8">
        <w:r>
          <w:rPr>
            <w:rStyle w:val="Hyperlink"/>
          </w:rPr>
          <w:t xml:space="preserve">https://doi.org/10.1016/j.cub.2013.11.014</w:t>
        </w:r>
      </w:hyperlink>
    </w:p>
    <w:bookmarkEnd w:id="439"/>
    <w:bookmarkStart w:id="44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0">
        <w:r>
          <w:rPr>
            <w:rStyle w:val="Hyperlink"/>
          </w:rPr>
          <w:t xml:space="preserve">https://doi.org/10.1111/2041-210x.13104</w:t>
        </w:r>
      </w:hyperlink>
    </w:p>
    <w:bookmarkEnd w:id="441"/>
    <w:bookmarkStart w:id="44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2">
        <w:r>
          <w:rPr>
            <w:rStyle w:val="Hyperlink"/>
          </w:rPr>
          <w:t xml:space="preserve">https://doi.org/10.1371/journal.pone.0026828</w:t>
        </w:r>
      </w:hyperlink>
    </w:p>
    <w:bookmarkEnd w:id="443"/>
    <w:bookmarkStart w:id="44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4">
        <w:r>
          <w:rPr>
            <w:rStyle w:val="Hyperlink"/>
          </w:rPr>
          <w:t xml:space="preserve">https://doi.org/10.1371/journal.pbio.3000125</w:t>
        </w:r>
      </w:hyperlink>
    </w:p>
    <w:bookmarkEnd w:id="445"/>
    <w:bookmarkEnd w:id="446"/>
    <w:bookmarkEnd w:id="4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dadc33c9fc7c9c7510b88ccf81b5ab517bbbf511/"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dadc33c9fc7c9c7510b88ccf81b5ab517bbbf511"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dadc33c9fc7c9c7510b88ccf81b5ab517bbbf511/"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dadc33c9fc7c9c7510b88ccf81b5ab517bbbf511"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2023-03-14T01:38:36Z</dcterms:created>
  <dcterms:modified xsi:type="dcterms:W3CDTF">2023-03-14T01:38:36Z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