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U00-U49	Provisional assignment of new diseases of uncertain etiology or emergency use</w:t>
      </w:r>
    </w:p>
    <w:p>
      <w:r>
        <w:t xml:space="preserve">U82-U85	Resistance to antimicrobial and antineoplastic drugs</w:t>
      </w:r>
    </w:p>
    <w:p>
      <w:r>
        <w:t xml:space="preserve">Provisional assignment of new diseases of uncertain etiology or emergency use</w:t>
      </w:r>
    </w:p>
    <w:p>
      <w:r>
        <w:t xml:space="preserve">U00-U49</w:t>
      </w:r>
    </w:p>
    <w:p>
      <w:r>
        <w:t xml:space="preserve">U04 Severe acute respiratory syndrome [SARS]</w:t>
      </w:r>
    </w:p>
    <w:p>
      <w:r>
        <w:t xml:space="preserve">U04.9 Severe acute respiratory syndrome [SARS], unspecified</w:t>
      </w:r>
    </w:p>
    <w:p>
      <w:r>
        <w:t xml:space="preserve">Resistance to antimicrobial and antineoplastic drugs</w:t>
      </w:r>
    </w:p>
    <w:p>
      <w:r>
        <w:t xml:space="preserve">U82-U85</w:t>
      </w:r>
    </w:p>
    <w:p>
      <w:r>
        <w:rPr>
          <w:rStyle w:val="1"/>
        </w:rPr>
        <w:t xml:space="preserve">	These categories should never be used in primary coding. The codes are provided for use as supplementary or additional codes when it is desired to identify the resistance, non-responsiveness and refractive properties of a condition to antimicrobials and antineoplastic drugs.</w:t>
      </w:r>
    </w:p>
    <w:p>
      <w:r>
        <w:br w:type="page"/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2019-02-28T17:54:12+01:00</dcterms:created>
  <dcterms:modified xsi:type="dcterms:W3CDTF">2019-02-28T17:54:12+01:00</dcterms:modified>
  <dc:title/>
  <dc:description/>
  <dc:subject/>
  <cp:keywords/>
  <cp:category/>
</cp:coreProperties>
</file>