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	diseases generally recognized as communicable or transmissible</w:t>
      </w:r>
    </w:p>
    <w:p>
      <w:r>
        <w:rPr>
          <w:rStyle w:val="1"/>
        </w:rPr>
        <w:t xml:space="preserve">	Use additional code (U82-U84), if desired, to identify resistance to antimicrobial drugs</w:t>
      </w:r>
    </w:p>
    <w:p>
      <w:r>
        <w:rPr>
          <w:rStyle w:val="1"/>
        </w:rPr>
        <w:t xml:space="preserve">	carrier or suspected carrier of infectious disease</w:t>
      </w:r>
    </w:p>
    <w:p>
      <w:r>
        <w:rPr>
          <w:rStyle w:val="1"/>
        </w:rPr>
        <w:t xml:space="preserve">	certain localized infections - see body system-related chapters</w:t>
      </w:r>
    </w:p>
    <w:p>
      <w:r>
        <w:rPr>
          <w:rStyle w:val="1"/>
        </w:rPr>
        <w:t xml:space="preserve">	infectious and parasitic diseases complicating pregnancy, childbirth and the puerperium [except obstetrical tetanus]</w:t>
      </w:r>
    </w:p>
    <w:p>
      <w:r>
        <w:rPr>
          <w:rStyle w:val="1"/>
        </w:rPr>
        <w:t xml:space="preserve">	infectious and parasitic diseases specific to the perinatal period [except tetanus neonatorum, congenital syphilis, perinatal gonococcal infection and perinatal human immunodeficiency virus [HIV] disease]</w:t>
      </w:r>
    </w:p>
    <w:p>
      <w:r>
        <w:rPr>
          <w:rStyle w:val="1"/>
        </w:rPr>
        <w:t xml:space="preserve">	influenza and other acute respiratory infections</w:t>
      </w:r>
    </w:p>
    <w:p>
      <w:r>
        <w:t xml:space="preserve">A00-A09		</w:t>
      </w:r>
    </w:p>
    <w:p>
      <w:r>
        <w:t xml:space="preserve">A15-A19		infections due to Mycobacterium tuberculosis and Mycobacterium bovis</w:t>
      </w:r>
    </w:p>
    <w:p>
      <w:r>
        <w:t xml:space="preserve">	infections due to Mycobacterium tuberculosis and Mycobacterium bovis</w:t>
      </w:r>
    </w:p>
    <w:p>
      <w:r>
        <w:rPr>
          <w:rStyle w:val="1"/>
        </w:rPr>
        <w:t xml:space="preserve">	pneumoconiosis associated with tuberculosis</w:t>
      </w:r>
    </w:p>
    <w:p>
      <w:r>
        <w:rPr>
          <w:rStyle w:val="1"/>
        </w:rPr>
        <w:t xml:space="preserve">	congenital tuberculosis</w:t>
      </w:r>
    </w:p>
    <w:p>
      <w:r>
        <w:rPr>
          <w:rStyle w:val="1"/>
        </w:rPr>
        <w:t xml:space="preserve">	human immunodeficieny [HIV] disease resulting in tuberculosis</w:t>
      </w:r>
    </w:p>
    <w:p>
      <w:r>
        <w:rPr>
          <w:rStyle w:val="1"/>
        </w:rPr>
        <w:t xml:space="preserve">	sequelae of tuberculosis</w:t>
      </w:r>
    </w:p>
    <w:p>
      <w:r>
        <w:rPr>
          <w:rStyle w:val="1"/>
        </w:rPr>
        <w:t xml:space="preserve">	silicotuberculosis</w:t>
      </w:r>
    </w:p>
    <w:p>
      <w:r>
        <w:t xml:space="preserve">A20-A28		</w:t>
      </w:r>
    </w:p>
    <w:p>
      <w:r>
        <w:t xml:space="preserve">A30-A49		</w:t>
      </w:r>
    </w:p>
    <w:p>
      <w:r>
        <w:t xml:space="preserve">A50-A64		human immunodeficiency virus [HIV] disease</w:t>
      </w:r>
    </w:p>
    <w:p>
      <w:r>
        <w:rPr>
          <w:rStyle w:val="1"/>
        </w:rPr>
        <w:t xml:space="preserve">	human immunodeficiency virus [HIV] disease</w:t>
      </w:r>
    </w:p>
    <w:p>
      <w:r>
        <w:rPr>
          <w:rStyle w:val="1"/>
        </w:rPr>
        <w:t xml:space="preserve">	nonspecific and nongonococcal urethritis</w:t>
      </w:r>
    </w:p>
    <w:p>
      <w:r>
        <w:rPr>
          <w:rStyle w:val="1"/>
        </w:rPr>
        <w:t xml:space="preserve">	Reiter disease</w:t>
      </w:r>
    </w:p>
    <w:p>
      <w:r>
        <w:t xml:space="preserve">A65-A69		leptospirosis</w:t>
      </w:r>
    </w:p>
    <w:p>
      <w:r>
        <w:rPr>
          <w:rStyle w:val="1"/>
        </w:rPr>
        <w:t xml:space="preserve">	leptospirosis</w:t>
      </w:r>
    </w:p>
    <w:p>
      <w:r>
        <w:rPr>
          <w:rStyle w:val="1"/>
        </w:rPr>
        <w:t xml:space="preserve">	syphilis</w:t>
      </w:r>
    </w:p>
    <w:p>
      <w:r>
        <w:t xml:space="preserve">A70-A74		</w:t>
      </w:r>
    </w:p>
    <w:p>
      <w:r>
        <w:t xml:space="preserve">A75-A79		</w:t>
      </w:r>
    </w:p>
    <w:p>
      <w:r>
        <w:t xml:space="preserve">A80-A89		sequelae of:poliomyelitis</w:t>
      </w:r>
    </w:p>
    <w:p>
      <w:r>
        <w:rPr>
          <w:rStyle w:val="1"/>
        </w:rPr>
        <w:t xml:space="preserve">	sequelae of:poliomyelitis</w:t>
      </w:r>
    </w:p>
    <w:p>
      <w:r>
        <w:rPr>
          <w:rStyle w:val="1"/>
        </w:rPr>
        <w:t xml:space="preserve">	sequelae of:viral encephalitis</w:t>
      </w:r>
    </w:p>
    <w:p>
      <w:r>
        <w:t xml:space="preserve">A92-A99		</w:t>
      </w:r>
    </w:p>
    <w:p>
      <w:r>
        <w:t xml:space="preserve">B00-B09		</w:t>
      </w:r>
    </w:p>
    <w:p>
      <w:r>
        <w:t xml:space="preserve">B15-B19		cytomegaloviral hepatitis</w:t>
      </w:r>
    </w:p>
    <w:p>
      <w:r>
        <w:rPr>
          <w:rStyle w:val="1"/>
        </w:rPr>
        <w:t xml:space="preserve">	cytomegaloviral hepatitis</w:t>
      </w:r>
    </w:p>
    <w:p>
      <w:r>
        <w:rPr>
          <w:rStyle w:val="1"/>
        </w:rPr>
        <w:t xml:space="preserve">	Use additional code (Chapter XX), if desired, to identify drug, if post-transfusion hepatitis</w:t>
      </w:r>
    </w:p>
    <w:p>
      <w:r>
        <w:rPr>
          <w:rStyle w:val="1"/>
        </w:rPr>
        <w:t xml:space="preserve">	herpesviral [herpes simplex] hepatitis</w:t>
      </w:r>
    </w:p>
    <w:p>
      <w:r>
        <w:rPr>
          <w:rStyle w:val="1"/>
        </w:rPr>
        <w:t xml:space="preserve">	sequelae of viral hepatitis</w:t>
      </w:r>
    </w:p>
    <w:p>
      <w:r>
        <w:t xml:space="preserve">B20-B24		complicating pregnancy, childbirth and the puerperium</w:t>
      </w:r>
    </w:p>
    <w:p>
      <w:r>
        <w:rPr>
          <w:rStyle w:val="1"/>
        </w:rPr>
        <w:t xml:space="preserve">	complicating pregnancy, childbirth and the puerperium</w:t>
      </w:r>
    </w:p>
    <w:p>
      <w:r>
        <w:rPr>
          <w:rStyle w:val="1"/>
        </w:rPr>
        <w:t xml:space="preserve">	asymptomatic human immunodeficiency virus [HIV] infection status</w:t>
      </w:r>
    </w:p>
    <w:p>
      <w:r>
        <w:t xml:space="preserve">B25-B34		</w:t>
      </w:r>
    </w:p>
    <w:p>
      <w:r>
        <w:t xml:space="preserve">B35-B49		hypersensitivity pneumonitis due to organic dust</w:t>
      </w:r>
    </w:p>
    <w:p>
      <w:r>
        <w:rPr>
          <w:rStyle w:val="1"/>
        </w:rPr>
        <w:t xml:space="preserve">	hypersensitivity pneumonitis due to organic dust</w:t>
      </w:r>
    </w:p>
    <w:p>
      <w:r>
        <w:rPr>
          <w:rStyle w:val="1"/>
        </w:rPr>
        <w:t xml:space="preserve">	mycosis fungoides</w:t>
      </w:r>
    </w:p>
    <w:p>
      <w:r>
        <w:t xml:space="preserve">B50-B64		amoebiasis</w:t>
      </w:r>
    </w:p>
    <w:p>
      <w:r>
        <w:rPr>
          <w:rStyle w:val="1"/>
        </w:rPr>
        <w:t xml:space="preserve">	amoebiasis</w:t>
      </w:r>
    </w:p>
    <w:p>
      <w:r>
        <w:rPr>
          <w:rStyle w:val="1"/>
        </w:rPr>
        <w:t xml:space="preserve">	other protozoal intestinal diseases</w:t>
      </w:r>
    </w:p>
    <w:p>
      <w:r>
        <w:t xml:space="preserve">B65-B83		</w:t>
      </w:r>
    </w:p>
    <w:p>
      <w:r>
        <w:t xml:space="preserve">B85-B89		</w:t>
      </w:r>
    </w:p>
    <w:p>
      <w:r>
        <w:t xml:space="preserve">B90-B94		Categories B90-B94 are to be used to indicate conditions in categories A00-B89 as the cause of sequelae, which are themselves classified elsewhere. The "sequelae"" include conditions specified as such; they also include late effects of diseases classifiable to the above categories if there is evidence that the disease itself is no longer present. For use of these categoriesNot to be used for chronic infections. Code current infections to chronic or active infectious disease as appropriate.</w:t>
      </w:r>
    </w:p>
    <w:p>
      <w:r>
        <w:rPr>
          <w:rStyle w:val="1"/>
        </w:rPr>
        <w:t xml:space="preserve">	Categories B90-B94 are to be used to indicate conditions in categories A00-B89 as the cause of sequelae, which are themselves classified elsewhere. The "sequelae"" include conditions specified as such; they also include late effects of diseases classifiable to the above categories if there is evidence that the disease itself is no longer present. For use of these categoriesNot to be used for chronic infections. Code current infections to chronic or active infectious disease as appropriate.</w:t>
      </w:r>
    </w:p>
    <w:p>
      <w:r>
        <w:t xml:space="preserve">B95-B98		These categories should never be used in primary coding. They are provided for use as supplementary or additional codes when it is desired to identify the infectious agent(s) in diseases classified elsewhere.</w:t>
      </w:r>
    </w:p>
    <w:p>
      <w:r>
        <w:rPr>
          <w:rStyle w:val="1"/>
        </w:rPr>
        <w:t xml:space="preserve">	These categories should never be used in primary coding. They are provided for use as supplementary or additional codes when it is desired to identify the infectious agent(s) in diseases classified elsewhere.</w:t>
      </w:r>
    </w:p>
    <w:p>
      <w:r>
        <w:t xml:space="preserve">B99-B99		</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2019-02-07T13:52:58+01:00</dcterms:created>
  <dcterms:modified xsi:type="dcterms:W3CDTF">2019-02-07T13:52:58+01:00</dcterms:modified>
  <dc:title/>
  <dc:description/>
  <dc:subject/>
  <cp:keywords/>
  <cp:category/>
</cp:coreProperties>
</file>