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mbria" w:cs="Cambria" w:eastAsia="Cambria" w:hAnsi="Cambria"/>
          <w:b/>
          <w:bCs/>
          <w:color w:val="1B2A4A"/>
          <w:sz w:val="56"/>
          <w:szCs w:val="56"/>
        </w:rPr>
        <w:t xml:space="preserve">VaaniSetu</w:t>
      </w:r>
    </w:p>
    <w:p>
      <w:pPr>
        <w:spacing w:after="40"/>
      </w:pPr>
      <w:r>
        <w:rPr>
          <w:rFonts w:ascii="Cambria" w:cs="Cambria" w:eastAsia="Cambria" w:hAnsi="Cambria"/>
          <w:i/>
          <w:iCs/>
          <w:color w:val="1C7293"/>
          <w:sz w:val="28"/>
          <w:szCs w:val="28"/>
        </w:rPr>
        <w:t xml:space="preserve">The Civic Voice Interface — Project Overview</w:t>
      </w:r>
    </w:p>
    <w:p>
      <w:pPr>
        <w:spacing w:after="40"/>
      </w:pPr>
      <w:r>
        <w:rPr>
          <w:color w:val="555555"/>
          <w:sz w:val="20"/>
          <w:szCs w:val="20"/>
        </w:rPr>
        <w:t xml:space="preserve">Alpha Byte 3.0  ·  Problem Statement 5  ·  Domain: Web &amp; Mobile Development × AI/ML</w:t>
      </w:r>
    </w:p>
    <w:p>
      <w:pPr>
        <w:spacing w:after="400"/>
      </w:pPr>
      <w:r>
        <w:rPr>
          <w:color w:val="555555"/>
          <w:sz w:val="20"/>
          <w:szCs w:val="20"/>
        </w:rPr>
        <w:t xml:space="preserve">Prepared: 7 September 2026</w:t>
      </w:r>
    </w:p>
    <w:p>
      <w:pPr>
        <w:pStyle w:val="Heading1"/>
        <w:spacing w:after="160" w:before="320"/>
      </w:pPr>
      <w:r>
        <w:t xml:space="preserve">1. Problem statement</w:t>
      </w:r>
    </w:p>
    <w:p>
      <w:pPr>
        <w:pBdr>
          <w:left w:val="single" w:color="1C7293" w:sz="12" w:space="8"/>
        </w:pBdr>
        <w:spacing w:after="200" w:before="120"/>
        <w:ind w:left="360"/>
      </w:pPr>
      <w:r>
        <w:rPr>
          <w:i/>
          <w:iCs/>
          <w:color w:val="444444"/>
          <w:sz w:val="22"/>
          <w:szCs w:val="22"/>
        </w:rPr>
        <w:t xml:space="preserve">“Access to government is not about portals — it is about understanding under constraint.”</w:t>
      </w:r>
    </w:p>
    <w:p>
      <w:pPr>
        <w:spacing w:after="160" w:line="300"/>
      </w:pPr>
      <w:r>
        <w:rPr>
          <w:sz w:val="22"/>
          <w:szCs w:val="22"/>
        </w:rPr>
        <w:t xml:space="preserve">Access to government services is increasingly mediated through digital platforms. However, these platforms often assume literacy, language proficiency, and interface familiarity that many citizens do not possess. Information about welfare schemes, public services, eligibility rules, and procedures is fragmented across websites, documents, and offices, and is frequently presented in complex legal or bureaucratic language.</w:t>
      </w:r>
    </w:p>
    <w:p>
      <w:pPr>
        <w:spacing w:after="160" w:line="300"/>
      </w:pPr>
      <w:r>
        <w:rPr>
          <w:sz w:val="22"/>
          <w:szCs w:val="22"/>
        </w:rPr>
        <w:t xml:space="preserve">In real civic contexts, citizens approach government services under uncertainty and constraint:</w:t>
      </w:r>
    </w:p>
    <w:p>
      <w:pPr>
        <w:pStyle w:val="ListParagraph"/>
        <w:numPr>
          <w:ilvl w:val="0"/>
          <w:numId w:val="2"/>
        </w:numPr>
        <w:spacing w:after="80" w:line="280"/>
      </w:pPr>
      <w:r>
        <w:rPr>
          <w:sz w:val="22"/>
          <w:szCs w:val="22"/>
        </w:rPr>
        <w:t xml:space="preserve">They may not know which scheme applies to them</w:t>
      </w:r>
    </w:p>
    <w:p>
      <w:pPr>
        <w:pStyle w:val="ListParagraph"/>
        <w:numPr>
          <w:ilvl w:val="0"/>
          <w:numId w:val="2"/>
        </w:numPr>
        <w:spacing w:after="80" w:line="280"/>
      </w:pPr>
      <w:r>
        <w:rPr>
          <w:sz w:val="22"/>
          <w:szCs w:val="22"/>
        </w:rPr>
        <w:t xml:space="preserve">They may speak regional languages or mixed dialects</w:t>
      </w:r>
    </w:p>
    <w:p>
      <w:pPr>
        <w:pStyle w:val="ListParagraph"/>
        <w:numPr>
          <w:ilvl w:val="0"/>
          <w:numId w:val="2"/>
        </w:numPr>
        <w:spacing w:after="80" w:line="280"/>
      </w:pPr>
      <w:r>
        <w:rPr>
          <w:sz w:val="22"/>
          <w:szCs w:val="22"/>
        </w:rPr>
        <w:t xml:space="preserve">They may ask incomplete, informal, or ambiguous questions</w:t>
      </w:r>
    </w:p>
    <w:p>
      <w:pPr>
        <w:pStyle w:val="ListParagraph"/>
        <w:numPr>
          <w:ilvl w:val="0"/>
          <w:numId w:val="2"/>
        </w:numPr>
        <w:spacing w:after="80" w:line="280"/>
      </w:pPr>
      <w:r>
        <w:rPr>
          <w:sz w:val="22"/>
          <w:szCs w:val="22"/>
        </w:rPr>
        <w:t xml:space="preserve">They may not understand procedural dependencies or documentation requirements</w:t>
      </w:r>
    </w:p>
    <w:p>
      <w:pPr>
        <w:spacing w:after="160" w:line="300"/>
      </w:pPr>
      <w:r>
        <w:rPr>
          <w:sz w:val="22"/>
          <w:szCs w:val="22"/>
        </w:rPr>
        <w:t xml:space="preserve">As a result, citizens miss benefits, abandon applications, or rely on intermediaries.</w:t>
      </w:r>
    </w:p>
    <w:p>
      <w:pPr>
        <w:spacing w:after="160" w:line="300"/>
      </w:pPr>
      <w:r>
        <w:rPr>
          <w:b/>
          <w:bCs/>
          <w:sz w:val="22"/>
          <w:szCs w:val="22"/>
        </w:rPr>
        <w:t xml:space="preserve">Core insight: </w:t>
      </w:r>
      <w:r>
        <w:rPr>
          <w:sz w:val="22"/>
          <w:szCs w:val="22"/>
        </w:rPr>
        <w:t xml:space="preserve">The hardest part is not answering questions — it is guiding citizens when their intent, eligibility, or understanding is unclear. Static answers, one-shot responses, and rigid decision trees are explicitly insufficient for this problem.</w:t>
      </w:r>
    </w:p>
    <w:p>
      <w:pPr>
        <w:pStyle w:val="Heading1"/>
        <w:spacing w:after="160" w:before="320"/>
      </w:pPr>
      <w:r>
        <w:t xml:space="preserve">2. Our solution</w:t>
      </w:r>
    </w:p>
    <w:p>
      <w:pPr>
        <w:spacing w:after="160" w:line="300"/>
      </w:pPr>
      <w:r>
        <w:rPr>
          <w:sz w:val="22"/>
          <w:szCs w:val="22"/>
        </w:rPr>
        <w:t xml:space="preserve">VaaniSetu is a voice-first conversational decision-intelligence system — not a chatbot — that helps citizens discover, understand, and act on government schemes. It reasons through incomplete, informal, and contradictory input instead of retrieving static FAQ answers, and asks a clarifying question when it is not confident enough to answer.</w:t>
      </w:r>
    </w:p>
    <w:p>
      <w:pPr>
        <w:pStyle w:val="Heading2"/>
        <w:spacing w:after="120" w:before="240"/>
      </w:pPr>
      <w:r>
        <w:t xml:space="preserve">Three pillars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B2A4A" w:val="clear"/>
            <w:tcMar>
              <w:top w:type="dxa" w:w="100"/>
              <w:left w:type="dxa" w:w="120"/>
              <w:bottom w:type="dxa" w:w="100"/>
              <w:right w:type="dxa" w:w="120"/>
            </w:tcMar>
          </w:tcPr>
          <w:p>
            <w:r>
              <w:rPr>
                <w:b/>
                <w:bCs/>
                <w:color w:val="FFFFFF"/>
                <w:sz w:val="20"/>
                <w:szCs w:val="20"/>
              </w:rPr>
              <w:t xml:space="preserve">Pillar</w:t>
            </w:r>
          </w:p>
        </w:tc>
        <w:tc>
          <w:tcPr>
            <w:tcW w:type="dxa" w:w="6300"/>
            <w:shd w:fill="1B2A4A" w:val="clear"/>
            <w:tcMar>
              <w:top w:type="dxa" w:w="100"/>
              <w:left w:type="dxa" w:w="120"/>
              <w:bottom w:type="dxa" w:w="100"/>
              <w:right w:type="dxa" w:w="120"/>
            </w:tcMar>
          </w:tcPr>
          <w:p>
            <w:r>
              <w:rPr>
                <w:b/>
                <w:bCs/>
                <w:color w:val="FFFFFF"/>
                <w:sz w:val="20"/>
                <w:szCs w:val="20"/>
              </w:rPr>
              <w:t xml:space="preserve">What it does</w:t>
            </w:r>
          </w:p>
        </w:tc>
      </w:tr>
      <w:tr>
        <w:tc>
          <w:tcPr>
            <w:tcW w:type="dxa" w:w="3200"/>
            <w:shd w:fill="F2F4F7" w:val="clear"/>
            <w:tcMar>
              <w:top w:type="dxa" w:w="100"/>
              <w:left w:type="dxa" w:w="120"/>
              <w:bottom w:type="dxa" w:w="100"/>
              <w:right w:type="dxa" w:w="120"/>
            </w:tcMar>
          </w:tcPr>
          <w:p>
            <w:r>
              <w:rPr>
                <w:b w:val="false"/>
                <w:bCs w:val="false"/>
                <w:color w:val="000000"/>
                <w:sz w:val="20"/>
                <w:szCs w:val="20"/>
              </w:rPr>
              <w:t xml:space="preserve">Voice-first</w:t>
            </w:r>
          </w:p>
        </w:tc>
        <w:tc>
          <w:tcPr>
            <w:tcW w:type="dxa" w:w="6300"/>
            <w:shd w:fill="F2F4F7" w:val="clear"/>
            <w:tcMar>
              <w:top w:type="dxa" w:w="100"/>
              <w:left w:type="dxa" w:w="120"/>
              <w:bottom w:type="dxa" w:w="100"/>
              <w:right w:type="dxa" w:w="120"/>
            </w:tcMar>
          </w:tcPr>
          <w:p>
            <w:r>
              <w:rPr>
                <w:b w:val="false"/>
                <w:bCs w:val="false"/>
                <w:color w:val="000000"/>
                <w:sz w:val="20"/>
                <w:szCs w:val="20"/>
              </w:rPr>
              <w:t xml:space="preserve">Multilingual ASR handles informal, mixed-dialect speech — no typed forms required.</w:t>
            </w:r>
          </w:p>
        </w:tc>
      </w:tr>
      <w:tr>
        <w:tc>
          <w:tcPr>
            <w:tcW w:type="dxa" w:w="3200"/>
            <w:shd w:fill="FFFFFF" w:val="clear"/>
            <w:tcMar>
              <w:top w:type="dxa" w:w="100"/>
              <w:left w:type="dxa" w:w="120"/>
              <w:bottom w:type="dxa" w:w="100"/>
              <w:right w:type="dxa" w:w="120"/>
            </w:tcMar>
          </w:tcPr>
          <w:p>
            <w:r>
              <w:rPr>
                <w:b w:val="false"/>
                <w:bCs w:val="false"/>
                <w:color w:val="000000"/>
                <w:sz w:val="20"/>
                <w:szCs w:val="20"/>
              </w:rPr>
              <w:t xml:space="preserve">Ambiguity-aware reasoning</w:t>
            </w:r>
          </w:p>
        </w:tc>
        <w:tc>
          <w:tcPr>
            <w:tcW w:type="dxa" w:w="6300"/>
            <w:shd w:fill="FFFFFF" w:val="clear"/>
            <w:tcMar>
              <w:top w:type="dxa" w:w="100"/>
              <w:left w:type="dxa" w:w="120"/>
              <w:bottom w:type="dxa" w:w="100"/>
              <w:right w:type="dxa" w:w="120"/>
            </w:tcMar>
          </w:tcPr>
          <w:p>
            <w:r>
              <w:rPr>
                <w:b w:val="false"/>
                <w:bCs w:val="false"/>
                <w:color w:val="000000"/>
                <w:sz w:val="20"/>
                <w:szCs w:val="20"/>
              </w:rPr>
              <w:t xml:space="preserve">An LLM-based intent extractor flags what information is missing before the system decides to answer or ask.</w:t>
            </w:r>
          </w:p>
        </w:tc>
      </w:tr>
      <w:tr>
        <w:tc>
          <w:tcPr>
            <w:tcW w:type="dxa" w:w="3200"/>
            <w:shd w:fill="F2F4F7" w:val="clear"/>
            <w:tcMar>
              <w:top w:type="dxa" w:w="100"/>
              <w:left w:type="dxa" w:w="120"/>
              <w:bottom w:type="dxa" w:w="100"/>
              <w:right w:type="dxa" w:w="120"/>
            </w:tcMar>
          </w:tcPr>
          <w:p>
            <w:r>
              <w:rPr>
                <w:b w:val="false"/>
                <w:bCs w:val="false"/>
                <w:color w:val="000000"/>
                <w:sz w:val="20"/>
                <w:szCs w:val="20"/>
              </w:rPr>
              <w:t xml:space="preserve">Explainable &amp; trust-aware</w:t>
            </w:r>
          </w:p>
        </w:tc>
        <w:tc>
          <w:tcPr>
            <w:tcW w:type="dxa" w:w="6300"/>
            <w:shd w:fill="F2F4F7" w:val="clear"/>
            <w:tcMar>
              <w:top w:type="dxa" w:w="100"/>
              <w:left w:type="dxa" w:w="120"/>
              <w:bottom w:type="dxa" w:w="100"/>
              <w:right w:type="dxa" w:w="120"/>
            </w:tcMar>
          </w:tcPr>
          <w:p>
            <w:r>
              <w:rPr>
                <w:b w:val="false"/>
                <w:bCs w:val="false"/>
                <w:color w:val="000000"/>
                <w:sz w:val="20"/>
                <w:szCs w:val="20"/>
              </w:rPr>
              <w:t xml:space="preserve">Every answer states its eligibility confidence and exactly what proof or information is still needed.</w:t>
            </w:r>
          </w:p>
        </w:tc>
      </w:tr>
    </w:tbl>
    <w:p>
      <w:pPr>
        <w:pStyle w:val="Heading1"/>
        <w:spacing w:after="160" w:before="320"/>
      </w:pPr>
      <w:r>
        <w:t xml:space="preserve">3. Target audience</w:t>
      </w:r>
    </w:p>
    <w:p>
      <w:pPr>
        <w:pStyle w:val="Heading2"/>
        <w:spacing w:after="120" w:before="240"/>
      </w:pPr>
      <w:r>
        <w:t xml:space="preserve">Primary end-users</w:t>
      </w:r>
    </w:p>
    <w:p>
      <w:pPr>
        <w:pStyle w:val="ListParagraph"/>
        <w:numPr>
          <w:ilvl w:val="0"/>
          <w:numId w:val="2"/>
        </w:numPr>
        <w:spacing w:after="80" w:line="280"/>
      </w:pPr>
      <w:r>
        <w:rPr>
          <w:sz w:val="22"/>
          <w:szCs w:val="22"/>
        </w:rPr>
        <w:t xml:space="preserve">Low-literacy and regional-language citizens who cannot navigate text-heavy, English/Hindi-only portals</w:t>
      </w:r>
    </w:p>
    <w:p>
      <w:pPr>
        <w:pStyle w:val="ListParagraph"/>
        <w:numPr>
          <w:ilvl w:val="0"/>
          <w:numId w:val="2"/>
        </w:numPr>
        <w:spacing w:after="80" w:line="280"/>
      </w:pPr>
      <w:r>
        <w:rPr>
          <w:sz w:val="22"/>
          <w:szCs w:val="22"/>
        </w:rPr>
        <w:t xml:space="preserve">Informal workers, small farmers, elderly citizens, and migrant labourers who don't know which schemes they qualify for</w:t>
      </w:r>
    </w:p>
    <w:p>
      <w:pPr>
        <w:pStyle w:val="ListParagraph"/>
        <w:numPr>
          <w:ilvl w:val="0"/>
          <w:numId w:val="2"/>
        </w:numPr>
        <w:spacing w:after="80" w:line="280"/>
      </w:pPr>
      <w:r>
        <w:rPr>
          <w:sz w:val="22"/>
          <w:szCs w:val="22"/>
        </w:rPr>
        <w:t xml:space="preserve">First-time scheme applicants</w:t>
      </w:r>
    </w:p>
    <w:p>
      <w:pPr>
        <w:pStyle w:val="Heading2"/>
        <w:spacing w:after="120" w:before="240"/>
      </w:pPr>
      <w:r>
        <w:t xml:space="preserve">Secondary end-users</w:t>
      </w:r>
    </w:p>
    <w:p>
      <w:pPr>
        <w:pStyle w:val="ListParagraph"/>
        <w:numPr>
          <w:ilvl w:val="0"/>
          <w:numId w:val="2"/>
        </w:numPr>
        <w:spacing w:after="80" w:line="280"/>
      </w:pPr>
      <w:r>
        <w:rPr>
          <w:sz w:val="22"/>
          <w:szCs w:val="22"/>
        </w:rPr>
        <w:t xml:space="preserve">Common Service Centre (CSC) operators and NGO field workers who currently do scheme discovery manually for citizens — the tool is a force-multiplier for people already doing this job by hand</w:t>
      </w:r>
    </w:p>
    <w:p>
      <w:pPr>
        <w:pStyle w:val="Heading2"/>
        <w:spacing w:after="120" w:before="240"/>
      </w:pPr>
      <w:r>
        <w:t xml:space="preserve">Institutional buyers</w:t>
      </w:r>
    </w:p>
    <w:p>
      <w:pPr>
        <w:pStyle w:val="ListParagraph"/>
        <w:numPr>
          <w:ilvl w:val="0"/>
          <w:numId w:val="2"/>
        </w:numPr>
        <w:spacing w:after="80" w:line="280"/>
      </w:pPr>
      <w:r>
        <w:rPr>
          <w:sz w:val="22"/>
          <w:szCs w:val="22"/>
        </w:rPr>
        <w:t xml:space="preserve">State welfare and rural-development departments</w:t>
      </w:r>
    </w:p>
    <w:p>
      <w:pPr>
        <w:pStyle w:val="ListParagraph"/>
        <w:numPr>
          <w:ilvl w:val="0"/>
          <w:numId w:val="2"/>
        </w:numPr>
        <w:spacing w:after="80" w:line="280"/>
      </w:pPr>
      <w:r>
        <w:rPr>
          <w:sz w:val="22"/>
          <w:szCs w:val="22"/>
        </w:rPr>
        <w:t xml:space="preserve">CSC e-Governance Services India Ltd.</w:t>
      </w:r>
    </w:p>
    <w:p>
      <w:pPr>
        <w:pStyle w:val="ListParagraph"/>
        <w:numPr>
          <w:ilvl w:val="0"/>
          <w:numId w:val="2"/>
        </w:numPr>
        <w:spacing w:after="80" w:line="280"/>
      </w:pPr>
      <w:r>
        <w:rPr>
          <w:sz w:val="22"/>
          <w:szCs w:val="22"/>
        </w:rPr>
        <w:t xml:space="preserve">DBT (Direct Benefit Transfer) Mission</w:t>
      </w:r>
    </w:p>
    <w:p>
      <w:pPr>
        <w:spacing w:after="160" w:line="300"/>
      </w:pPr>
      <w:r>
        <w:rPr>
          <w:sz w:val="22"/>
          <w:szCs w:val="22"/>
        </w:rPr>
        <w:t xml:space="preserve">Citizens are the beneficiaries; institutions and intermediary networks are the realistic paying/deploying customers.</w:t>
      </w:r>
    </w:p>
    <w:p>
      <w:pPr>
        <w:pStyle w:val="Heading1"/>
        <w:spacing w:after="160" w:before="320"/>
      </w:pPr>
      <w:r>
        <w:t xml:space="preserve">4. Why this, and not an existing option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700"/>
        <w:gridCol w:w="2600"/>
      </w:tblGrid>
      <w:tr>
        <w:trPr>
          <w:tblHeader/>
        </w:trPr>
        <w:tc>
          <w:tcPr>
            <w:tcW w:type="dxa" w:w="2000"/>
            <w:shd w:fill="1B2A4A" w:val="clear"/>
            <w:tcMar>
              <w:top w:type="dxa" w:w="100"/>
              <w:left w:type="dxa" w:w="120"/>
              <w:bottom w:type="dxa" w:w="100"/>
              <w:right w:type="dxa" w:w="120"/>
            </w:tcMar>
          </w:tcPr>
          <w:p>
            <w:r>
              <w:rPr>
                <w:b/>
                <w:bCs/>
                <w:color w:val="FFFFFF"/>
                <w:sz w:val="20"/>
                <w:szCs w:val="20"/>
              </w:rPr>
              <w:t xml:space="preserve">Existing solution</w:t>
            </w:r>
          </w:p>
        </w:tc>
        <w:tc>
          <w:tcPr>
            <w:tcW w:type="dxa" w:w="2200"/>
            <w:shd w:fill="1B2A4A" w:val="clear"/>
            <w:tcMar>
              <w:top w:type="dxa" w:w="100"/>
              <w:left w:type="dxa" w:w="120"/>
              <w:bottom w:type="dxa" w:w="100"/>
              <w:right w:type="dxa" w:w="120"/>
            </w:tcMar>
          </w:tcPr>
          <w:p>
            <w:r>
              <w:rPr>
                <w:b/>
                <w:bCs/>
                <w:color w:val="FFFFFF"/>
                <w:sz w:val="20"/>
                <w:szCs w:val="20"/>
              </w:rPr>
              <w:t xml:space="preserve">What it is</w:t>
            </w:r>
          </w:p>
        </w:tc>
        <w:tc>
          <w:tcPr>
            <w:tcW w:type="dxa" w:w="2700"/>
            <w:shd w:fill="1B2A4A" w:val="clear"/>
            <w:tcMar>
              <w:top w:type="dxa" w:w="100"/>
              <w:left w:type="dxa" w:w="120"/>
              <w:bottom w:type="dxa" w:w="100"/>
              <w:right w:type="dxa" w:w="120"/>
            </w:tcMar>
          </w:tcPr>
          <w:p>
            <w:r>
              <w:rPr>
                <w:b/>
                <w:bCs/>
                <w:color w:val="FFFFFF"/>
                <w:sz w:val="20"/>
                <w:szCs w:val="20"/>
              </w:rPr>
              <w:t xml:space="preserve">Where it falls short</w:t>
            </w:r>
          </w:p>
        </w:tc>
        <w:tc>
          <w:tcPr>
            <w:tcW w:type="dxa" w:w="2600"/>
            <w:shd w:fill="1B2A4A" w:val="clear"/>
            <w:tcMar>
              <w:top w:type="dxa" w:w="100"/>
              <w:left w:type="dxa" w:w="120"/>
              <w:bottom w:type="dxa" w:w="100"/>
              <w:right w:type="dxa" w:w="120"/>
            </w:tcMar>
          </w:tcPr>
          <w:p>
            <w:r>
              <w:rPr>
                <w:b/>
                <w:bCs/>
                <w:color w:val="FFFFFF"/>
                <w:sz w:val="20"/>
                <w:szCs w:val="20"/>
              </w:rPr>
              <w:t xml:space="preserve">How VaaniSetu differs</w:t>
            </w:r>
          </w:p>
        </w:tc>
      </w:tr>
      <w:tr>
        <w:tc>
          <w:tcPr>
            <w:tcW w:type="dxa" w:w="2000"/>
            <w:shd w:fill="F2F4F7" w:val="clear"/>
            <w:tcMar>
              <w:top w:type="dxa" w:w="100"/>
              <w:left w:type="dxa" w:w="120"/>
              <w:bottom w:type="dxa" w:w="100"/>
              <w:right w:type="dxa" w:w="120"/>
            </w:tcMar>
          </w:tcPr>
          <w:p>
            <w:r>
              <w:rPr>
                <w:b w:val="false"/>
                <w:bCs w:val="false"/>
                <w:color w:val="000000"/>
                <w:sz w:val="20"/>
                <w:szCs w:val="20"/>
              </w:rPr>
              <w:t xml:space="preserve">UMANG app (MeitY, 2017)</w:t>
            </w:r>
          </w:p>
        </w:tc>
        <w:tc>
          <w:tcPr>
            <w:tcW w:type="dxa" w:w="2200"/>
            <w:shd w:fill="F2F4F7" w:val="clear"/>
            <w:tcMar>
              <w:top w:type="dxa" w:w="100"/>
              <w:left w:type="dxa" w:w="120"/>
              <w:bottom w:type="dxa" w:w="100"/>
              <w:right w:type="dxa" w:w="120"/>
            </w:tcMar>
          </w:tcPr>
          <w:p>
            <w:r>
              <w:rPr>
                <w:b w:val="false"/>
                <w:bCs w:val="false"/>
                <w:color w:val="000000"/>
                <w:sz w:val="20"/>
                <w:szCs w:val="20"/>
              </w:rPr>
              <w:t xml:space="preserve">Menu-driven super-app, 2,000+ services</w:t>
            </w:r>
          </w:p>
        </w:tc>
        <w:tc>
          <w:tcPr>
            <w:tcW w:type="dxa" w:w="2700"/>
            <w:shd w:fill="F2F4F7" w:val="clear"/>
            <w:tcMar>
              <w:top w:type="dxa" w:w="100"/>
              <w:left w:type="dxa" w:w="120"/>
              <w:bottom w:type="dxa" w:w="100"/>
              <w:right w:type="dxa" w:w="120"/>
            </w:tcMar>
          </w:tcPr>
          <w:p>
            <w:r>
              <w:rPr>
                <w:b w:val="false"/>
                <w:bCs w:val="false"/>
                <w:color w:val="000000"/>
                <w:sz w:val="20"/>
                <w:szCs w:val="20"/>
              </w:rPr>
              <w:t xml:space="preserve">5+ crore downloads but only 20–25% regular usage; text-heavy menu navigation requires knowing which service you want</w:t>
            </w:r>
          </w:p>
        </w:tc>
        <w:tc>
          <w:tcPr>
            <w:tcW w:type="dxa" w:w="2600"/>
            <w:shd w:fill="F2F4F7" w:val="clear"/>
            <w:tcMar>
              <w:top w:type="dxa" w:w="100"/>
              <w:left w:type="dxa" w:w="120"/>
              <w:bottom w:type="dxa" w:w="100"/>
              <w:right w:type="dxa" w:w="120"/>
            </w:tcMar>
          </w:tcPr>
          <w:p>
            <w:r>
              <w:rPr>
                <w:b w:val="false"/>
                <w:bCs w:val="false"/>
                <w:color w:val="000000"/>
                <w:sz w:val="20"/>
                <w:szCs w:val="20"/>
              </w:rPr>
              <w:t xml:space="preserve">Voice-first — no menu to get lost in; describe your situation in your own words</w:t>
            </w:r>
          </w:p>
        </w:tc>
      </w:tr>
      <w:tr>
        <w:tc>
          <w:tcPr>
            <w:tcW w:type="dxa" w:w="2000"/>
            <w:shd w:fill="FFFFFF" w:val="clear"/>
            <w:tcMar>
              <w:top w:type="dxa" w:w="100"/>
              <w:left w:type="dxa" w:w="120"/>
              <w:bottom w:type="dxa" w:w="100"/>
              <w:right w:type="dxa" w:w="120"/>
            </w:tcMar>
          </w:tcPr>
          <w:p>
            <w:r>
              <w:rPr>
                <w:b w:val="false"/>
                <w:bCs w:val="false"/>
                <w:color w:val="000000"/>
                <w:sz w:val="20"/>
                <w:szCs w:val="20"/>
              </w:rPr>
              <w:t xml:space="preserve">myScheme.gov.in (Digital India, 2022)</w:t>
            </w:r>
          </w:p>
        </w:tc>
        <w:tc>
          <w:tcPr>
            <w:tcW w:type="dxa" w:w="2200"/>
            <w:shd w:fill="FFFFFF" w:val="clear"/>
            <w:tcMar>
              <w:top w:type="dxa" w:w="100"/>
              <w:left w:type="dxa" w:w="120"/>
              <w:bottom w:type="dxa" w:w="100"/>
              <w:right w:type="dxa" w:w="120"/>
            </w:tcMar>
          </w:tcPr>
          <w:p>
            <w:r>
              <w:rPr>
                <w:b w:val="false"/>
                <w:bCs w:val="false"/>
                <w:color w:val="000000"/>
                <w:sz w:val="20"/>
                <w:szCs w:val="20"/>
              </w:rPr>
              <w:t xml:space="preserve">Form-based scheme eligibility filter</w:t>
            </w:r>
          </w:p>
        </w:tc>
        <w:tc>
          <w:tcPr>
            <w:tcW w:type="dxa" w:w="2700"/>
            <w:shd w:fill="FFFFFF" w:val="clear"/>
            <w:tcMar>
              <w:top w:type="dxa" w:w="100"/>
              <w:left w:type="dxa" w:w="120"/>
              <w:bottom w:type="dxa" w:w="100"/>
              <w:right w:type="dxa" w:w="120"/>
            </w:tcMar>
          </w:tcPr>
          <w:p>
            <w:r>
              <w:rPr>
                <w:b w:val="false"/>
                <w:bCs w:val="false"/>
                <w:color w:val="000000"/>
                <w:sz w:val="20"/>
                <w:szCs w:val="20"/>
              </w:rPr>
              <w:t xml:space="preserve">Requires citizen to correctly self-report demographic/income details; can't handle incomplete or informal answers</w:t>
            </w:r>
          </w:p>
        </w:tc>
        <w:tc>
          <w:tcPr>
            <w:tcW w:type="dxa" w:w="2600"/>
            <w:shd w:fill="FFFFFF" w:val="clear"/>
            <w:tcMar>
              <w:top w:type="dxa" w:w="100"/>
              <w:left w:type="dxa" w:w="120"/>
              <w:bottom w:type="dxa" w:w="100"/>
              <w:right w:type="dxa" w:w="120"/>
            </w:tcMar>
          </w:tcPr>
          <w:p>
            <w:r>
              <w:rPr>
                <w:b w:val="false"/>
                <w:bCs w:val="false"/>
                <w:color w:val="000000"/>
                <w:sz w:val="20"/>
                <w:szCs w:val="20"/>
              </w:rPr>
              <w:t xml:space="preserve">Asks a clarifying follow-up instead of returning empty or wrong results on incomplete input</w:t>
            </w:r>
          </w:p>
        </w:tc>
      </w:tr>
      <w:tr>
        <w:tc>
          <w:tcPr>
            <w:tcW w:type="dxa" w:w="2000"/>
            <w:shd w:fill="F2F4F7" w:val="clear"/>
            <w:tcMar>
              <w:top w:type="dxa" w:w="100"/>
              <w:left w:type="dxa" w:w="120"/>
              <w:bottom w:type="dxa" w:w="100"/>
              <w:right w:type="dxa" w:w="120"/>
            </w:tcMar>
          </w:tcPr>
          <w:p>
            <w:r>
              <w:rPr>
                <w:b w:val="false"/>
                <w:bCs w:val="false"/>
                <w:color w:val="000000"/>
                <w:sz w:val="20"/>
                <w:szCs w:val="20"/>
              </w:rPr>
              <w:t xml:space="preserve">Jugalbandi (OpenNyAI / AI4Bharat)</w:t>
            </w:r>
          </w:p>
        </w:tc>
        <w:tc>
          <w:tcPr>
            <w:tcW w:type="dxa" w:w="2200"/>
            <w:shd w:fill="F2F4F7" w:val="clear"/>
            <w:tcMar>
              <w:top w:type="dxa" w:w="100"/>
              <w:left w:type="dxa" w:w="120"/>
              <w:bottom w:type="dxa" w:w="100"/>
              <w:right w:type="dxa" w:w="120"/>
            </w:tcMar>
          </w:tcPr>
          <w:p>
            <w:r>
              <w:rPr>
                <w:b w:val="false"/>
                <w:bCs w:val="false"/>
                <w:color w:val="000000"/>
                <w:sz w:val="20"/>
                <w:szCs w:val="20"/>
              </w:rPr>
              <w:t xml:space="preserve">WhatsApp bot, 171 schemes, 10 languages, finite-state-machine + LLM</w:t>
            </w:r>
          </w:p>
        </w:tc>
        <w:tc>
          <w:tcPr>
            <w:tcW w:type="dxa" w:w="2700"/>
            <w:shd w:fill="F2F4F7" w:val="clear"/>
            <w:tcMar>
              <w:top w:type="dxa" w:w="100"/>
              <w:left w:type="dxa" w:w="120"/>
              <w:bottom w:type="dxa" w:w="100"/>
              <w:right w:type="dxa" w:w="120"/>
            </w:tcMar>
          </w:tcPr>
          <w:p>
            <w:r>
              <w:rPr>
                <w:b w:val="false"/>
                <w:bCs w:val="false"/>
                <w:color w:val="000000"/>
                <w:sz w:val="20"/>
                <w:szCs w:val="20"/>
              </w:rPr>
              <w:t xml:space="preserve">Fixed conversation states, not adaptive reasoning; philanthropy-funded pilot, not a scaled reasoning product</w:t>
            </w:r>
          </w:p>
        </w:tc>
        <w:tc>
          <w:tcPr>
            <w:tcW w:type="dxa" w:w="2600"/>
            <w:shd w:fill="F2F4F7" w:val="clear"/>
            <w:tcMar>
              <w:top w:type="dxa" w:w="100"/>
              <w:left w:type="dxa" w:w="120"/>
              <w:bottom w:type="dxa" w:w="100"/>
              <w:right w:type="dxa" w:w="120"/>
            </w:tcMar>
          </w:tcPr>
          <w:p>
            <w:r>
              <w:rPr>
                <w:b w:val="false"/>
                <w:bCs w:val="false"/>
                <w:color w:val="000000"/>
                <w:sz w:val="20"/>
                <w:szCs w:val="20"/>
              </w:rPr>
              <w:t xml:space="preserve">Ambiguity score drives behaviour dynamically; states confidence and missing information explicitly</w:t>
            </w:r>
          </w:p>
        </w:tc>
      </w:tr>
      <w:tr>
        <w:tc>
          <w:tcPr>
            <w:tcW w:type="dxa" w:w="2000"/>
            <w:shd w:fill="FFFFFF" w:val="clear"/>
            <w:tcMar>
              <w:top w:type="dxa" w:w="100"/>
              <w:left w:type="dxa" w:w="120"/>
              <w:bottom w:type="dxa" w:w="100"/>
              <w:right w:type="dxa" w:w="120"/>
            </w:tcMar>
          </w:tcPr>
          <w:p>
            <w:r>
              <w:rPr>
                <w:b w:val="false"/>
                <w:bCs w:val="false"/>
                <w:color w:val="000000"/>
                <w:sz w:val="20"/>
                <w:szCs w:val="20"/>
              </w:rPr>
              <w:t xml:space="preserve">CoRover AskSarkar / AskDisha</w:t>
            </w:r>
          </w:p>
        </w:tc>
        <w:tc>
          <w:tcPr>
            <w:tcW w:type="dxa" w:w="2200"/>
            <w:shd w:fill="FFFFFF" w:val="clear"/>
            <w:tcMar>
              <w:top w:type="dxa" w:w="100"/>
              <w:left w:type="dxa" w:w="120"/>
              <w:bottom w:type="dxa" w:w="100"/>
              <w:right w:type="dxa" w:w="120"/>
            </w:tcMar>
          </w:tcPr>
          <w:p>
            <w:r>
              <w:rPr>
                <w:b w:val="false"/>
                <w:bCs w:val="false"/>
                <w:color w:val="000000"/>
                <w:sz w:val="20"/>
                <w:szCs w:val="20"/>
              </w:rPr>
              <w:t xml:space="preserve">Enterprise chatbot widgets embedded in government portals</w:t>
            </w:r>
          </w:p>
        </w:tc>
        <w:tc>
          <w:tcPr>
            <w:tcW w:type="dxa" w:w="2700"/>
            <w:shd w:fill="FFFFFF" w:val="clear"/>
            <w:tcMar>
              <w:top w:type="dxa" w:w="100"/>
              <w:left w:type="dxa" w:w="120"/>
              <w:bottom w:type="dxa" w:w="100"/>
              <w:right w:type="dxa" w:w="120"/>
            </w:tcMar>
          </w:tcPr>
          <w:p>
            <w:r>
              <w:rPr>
                <w:b w:val="false"/>
                <w:bCs w:val="false"/>
                <w:color w:val="000000"/>
                <w:sz w:val="20"/>
                <w:szCs w:val="20"/>
              </w:rPr>
              <w:t xml:space="preserve">Single-turn retrieval widgets bolted onto an existing portal you must already be on</w:t>
            </w:r>
          </w:p>
        </w:tc>
        <w:tc>
          <w:tcPr>
            <w:tcW w:type="dxa" w:w="2600"/>
            <w:shd w:fill="FFFFFF" w:val="clear"/>
            <w:tcMar>
              <w:top w:type="dxa" w:w="100"/>
              <w:left w:type="dxa" w:w="120"/>
              <w:bottom w:type="dxa" w:w="100"/>
              <w:right w:type="dxa" w:w="120"/>
            </w:tcMar>
          </w:tcPr>
          <w:p>
            <w:r>
              <w:rPr>
                <w:b w:val="false"/>
                <w:bCs w:val="false"/>
                <w:color w:val="000000"/>
                <w:sz w:val="20"/>
                <w:szCs w:val="20"/>
              </w:rPr>
              <w:t xml:space="preserve">Standalone voice-first surface; reasoning under ambiguity is the product, not a support add-on</w:t>
            </w:r>
          </w:p>
        </w:tc>
      </w:tr>
    </w:tbl>
    <w:p>
      <w:pPr>
        <w:pBdr>
          <w:left w:val="single" w:color="1C7293" w:sz="12" w:space="8"/>
        </w:pBdr>
        <w:spacing w:after="200" w:before="120"/>
        <w:ind w:left="360"/>
      </w:pPr>
      <w:r>
        <w:rPr>
          <w:i/>
          <w:iCs/>
          <w:color w:val="444444"/>
          <w:sz w:val="22"/>
          <w:szCs w:val="22"/>
        </w:rPr>
        <w:t xml:space="preserve">Every existing solution assumes the citizen can correctly describe themselves. VaaniSetu is built for the citizen who can't.</w:t>
      </w:r>
    </w:p>
    <w:p>
      <w:pPr>
        <w:pStyle w:val="Heading1"/>
        <w:spacing w:after="160" w:before="320"/>
      </w:pPr>
      <w:r>
        <w:t xml:space="preserve">5. System architecture</w:t>
      </w:r>
    </w:p>
    <w:p>
      <w:pPr>
        <w:spacing w:after="160" w:line="300"/>
      </w:pPr>
      <w:r>
        <w:rPr>
          <w:sz w:val="22"/>
          <w:szCs w:val="22"/>
        </w:rPr>
        <w:t xml:space="preserve">A six-stage pipeline, with a feedback loop that lets the system ask a clarifying question instead of guessing:</w:t>
      </w:r>
    </w:p>
    <w:p>
      <w:pPr>
        <w:pStyle w:val="ListParagraph"/>
        <w:numPr>
          <w:ilvl w:val="0"/>
          <w:numId w:val="2"/>
        </w:numPr>
        <w:spacing w:after="80" w:line="280"/>
      </w:pPr>
      <w:r>
        <w:rPr>
          <w:sz w:val="22"/>
          <w:szCs w:val="22"/>
        </w:rPr>
        <w:t xml:space="preserve">1. Citizen speaks — any language, informal, mixed dialect</w:t>
      </w:r>
    </w:p>
    <w:p>
      <w:pPr>
        <w:pStyle w:val="ListParagraph"/>
        <w:numPr>
          <w:ilvl w:val="0"/>
          <w:numId w:val="2"/>
        </w:numPr>
        <w:spacing w:after="80" w:line="280"/>
      </w:pPr>
      <w:r>
        <w:rPr>
          <w:sz w:val="22"/>
          <w:szCs w:val="22"/>
        </w:rPr>
        <w:t xml:space="preserve">2. Multilingual ASR — speech to text (Whisper)</w:t>
      </w:r>
    </w:p>
    <w:p>
      <w:pPr>
        <w:pStyle w:val="ListParagraph"/>
        <w:numPr>
          <w:ilvl w:val="0"/>
          <w:numId w:val="2"/>
        </w:numPr>
        <w:spacing w:after="80" w:line="280"/>
      </w:pPr>
      <w:r>
        <w:rPr>
          <w:sz w:val="22"/>
          <w:szCs w:val="22"/>
        </w:rPr>
        <w:t xml:space="preserve">3. Intent extraction — LLM extracts entities and flags ambiguity</w:t>
      </w:r>
    </w:p>
    <w:p>
      <w:pPr>
        <w:pStyle w:val="ListParagraph"/>
        <w:numPr>
          <w:ilvl w:val="0"/>
          <w:numId w:val="2"/>
        </w:numPr>
        <w:spacing w:after="80" w:line="280"/>
      </w:pPr>
      <w:r>
        <w:rPr>
          <w:sz w:val="22"/>
          <w:szCs w:val="22"/>
        </w:rPr>
        <w:t xml:space="preserve">4. Dialogue manager — tracks context, decides whether to proceed or clarify</w:t>
      </w:r>
    </w:p>
    <w:p>
      <w:pPr>
        <w:pStyle w:val="ListParagraph"/>
        <w:numPr>
          <w:ilvl w:val="0"/>
          <w:numId w:val="2"/>
        </w:numPr>
        <w:spacing w:after="80" w:line="280"/>
      </w:pPr>
      <w:r>
        <w:rPr>
          <w:sz w:val="22"/>
          <w:szCs w:val="22"/>
        </w:rPr>
        <w:t xml:space="preserve">5. Reasoning engine — RAG retrieval over scheme data + hybrid eligibility rule engine</w:t>
      </w:r>
    </w:p>
    <w:p>
      <w:pPr>
        <w:pStyle w:val="ListParagraph"/>
        <w:numPr>
          <w:ilvl w:val="0"/>
          <w:numId w:val="2"/>
        </w:numPr>
        <w:spacing w:after="80" w:line="280"/>
      </w:pPr>
      <w:r>
        <w:rPr>
          <w:sz w:val="22"/>
          <w:szCs w:val="22"/>
        </w:rPr>
        <w:t xml:space="preserve">6. Explainable response — reasoning trace + multilingual text-to-speech</w:t>
      </w:r>
    </w:p>
    <w:p>
      <w:pPr>
        <w:spacing w:after="160" w:line="300"/>
      </w:pPr>
      <w:r>
        <w:rPr>
          <w:b/>
          <w:bCs/>
          <w:sz w:val="22"/>
          <w:szCs w:val="22"/>
        </w:rPr>
        <w:t xml:space="preserve">Core technical differentiator: </w:t>
      </w:r>
      <w:r>
        <w:rPr>
          <w:sz w:val="22"/>
          <w:szCs w:val="22"/>
        </w:rPr>
        <w:t xml:space="preserve">The dialogue manager decides whether to proceed or clarify based on an ambiguity score — the system never fabricates an answer to a question it cannot yet resolve.</w:t>
      </w:r>
    </w:p>
    <w:p>
      <w:pPr>
        <w:pStyle w:val="Heading1"/>
        <w:spacing w:after="160" w:before="320"/>
      </w:pPr>
      <w:r>
        <w:t xml:space="preserve">6. Tech stack</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B2A4A" w:val="clear"/>
            <w:tcMar>
              <w:top w:type="dxa" w:w="100"/>
              <w:left w:type="dxa" w:w="120"/>
              <w:bottom w:type="dxa" w:w="100"/>
              <w:right w:type="dxa" w:w="120"/>
            </w:tcMar>
          </w:tcPr>
          <w:p>
            <w:r>
              <w:rPr>
                <w:b/>
                <w:bCs/>
                <w:color w:val="FFFFFF"/>
                <w:sz w:val="20"/>
                <w:szCs w:val="20"/>
              </w:rPr>
              <w:t xml:space="preserve">Layer</w:t>
            </w:r>
          </w:p>
        </w:tc>
        <w:tc>
          <w:tcPr>
            <w:tcW w:type="dxa" w:w="6300"/>
            <w:shd w:fill="1B2A4A" w:val="clear"/>
            <w:tcMar>
              <w:top w:type="dxa" w:w="100"/>
              <w:left w:type="dxa" w:w="120"/>
              <w:bottom w:type="dxa" w:w="100"/>
              <w:right w:type="dxa" w:w="120"/>
            </w:tcMar>
          </w:tcPr>
          <w:p>
            <w:r>
              <w:rPr>
                <w:b/>
                <w:bCs/>
                <w:color w:val="FFFFFF"/>
                <w:sz w:val="20"/>
                <w:szCs w:val="20"/>
              </w:rPr>
              <w:t xml:space="preserve">Technology</w:t>
            </w:r>
          </w:p>
        </w:tc>
      </w:tr>
      <w:tr>
        <w:tc>
          <w:tcPr>
            <w:tcW w:type="dxa" w:w="3200"/>
            <w:shd w:fill="F2F4F7" w:val="clear"/>
            <w:tcMar>
              <w:top w:type="dxa" w:w="100"/>
              <w:left w:type="dxa" w:w="120"/>
              <w:bottom w:type="dxa" w:w="100"/>
              <w:right w:type="dxa" w:w="120"/>
            </w:tcMar>
          </w:tcPr>
          <w:p>
            <w:r>
              <w:rPr>
                <w:b w:val="false"/>
                <w:bCs w:val="false"/>
                <w:color w:val="000000"/>
                <w:sz w:val="20"/>
                <w:szCs w:val="20"/>
              </w:rPr>
              <w:t xml:space="preserve">Voice capture</w:t>
            </w:r>
          </w:p>
        </w:tc>
        <w:tc>
          <w:tcPr>
            <w:tcW w:type="dxa" w:w="6300"/>
            <w:shd w:fill="F2F4F7" w:val="clear"/>
            <w:tcMar>
              <w:top w:type="dxa" w:w="100"/>
              <w:left w:type="dxa" w:w="120"/>
              <w:bottom w:type="dxa" w:w="100"/>
              <w:right w:type="dxa" w:w="120"/>
            </w:tcMar>
          </w:tcPr>
          <w:p>
            <w:r>
              <w:rPr>
                <w:b w:val="false"/>
                <w:bCs w:val="false"/>
                <w:color w:val="000000"/>
                <w:sz w:val="20"/>
                <w:szCs w:val="20"/>
              </w:rPr>
              <w:t xml:space="preserve">Web Speech API / React Native mic</w:t>
            </w:r>
          </w:p>
        </w:tc>
      </w:tr>
      <w:tr>
        <w:tc>
          <w:tcPr>
            <w:tcW w:type="dxa" w:w="3200"/>
            <w:shd w:fill="FFFFFF" w:val="clear"/>
            <w:tcMar>
              <w:top w:type="dxa" w:w="100"/>
              <w:left w:type="dxa" w:w="120"/>
              <w:bottom w:type="dxa" w:w="100"/>
              <w:right w:type="dxa" w:w="120"/>
            </w:tcMar>
          </w:tcPr>
          <w:p>
            <w:r>
              <w:rPr>
                <w:b w:val="false"/>
                <w:bCs w:val="false"/>
                <w:color w:val="000000"/>
                <w:sz w:val="20"/>
                <w:szCs w:val="20"/>
              </w:rPr>
              <w:t xml:space="preserve">Speech-to-text</w:t>
            </w:r>
          </w:p>
        </w:tc>
        <w:tc>
          <w:tcPr>
            <w:tcW w:type="dxa" w:w="6300"/>
            <w:shd w:fill="FFFFFF" w:val="clear"/>
            <w:tcMar>
              <w:top w:type="dxa" w:w="100"/>
              <w:left w:type="dxa" w:w="120"/>
              <w:bottom w:type="dxa" w:w="100"/>
              <w:right w:type="dxa" w:w="120"/>
            </w:tcMar>
          </w:tcPr>
          <w:p>
            <w:r>
              <w:rPr>
                <w:b w:val="false"/>
                <w:bCs w:val="false"/>
                <w:color w:val="000000"/>
                <w:sz w:val="20"/>
                <w:szCs w:val="20"/>
              </w:rPr>
              <w:t xml:space="preserve">OpenAI Whisper (multilingual)</w:t>
            </w:r>
          </w:p>
        </w:tc>
      </w:tr>
      <w:tr>
        <w:tc>
          <w:tcPr>
            <w:tcW w:type="dxa" w:w="3200"/>
            <w:shd w:fill="F2F4F7" w:val="clear"/>
            <w:tcMar>
              <w:top w:type="dxa" w:w="100"/>
              <w:left w:type="dxa" w:w="120"/>
              <w:bottom w:type="dxa" w:w="100"/>
              <w:right w:type="dxa" w:w="120"/>
            </w:tcMar>
          </w:tcPr>
          <w:p>
            <w:r>
              <w:rPr>
                <w:b w:val="false"/>
                <w:bCs w:val="false"/>
                <w:color w:val="000000"/>
                <w:sz w:val="20"/>
                <w:szCs w:val="20"/>
              </w:rPr>
              <w:t xml:space="preserve">Intent &amp; ambiguity extraction</w:t>
            </w:r>
          </w:p>
        </w:tc>
        <w:tc>
          <w:tcPr>
            <w:tcW w:type="dxa" w:w="6300"/>
            <w:shd w:fill="F2F4F7" w:val="clear"/>
            <w:tcMar>
              <w:top w:type="dxa" w:w="100"/>
              <w:left w:type="dxa" w:w="120"/>
              <w:bottom w:type="dxa" w:w="100"/>
              <w:right w:type="dxa" w:w="120"/>
            </w:tcMar>
          </w:tcPr>
          <w:p>
            <w:r>
              <w:rPr>
                <w:b w:val="false"/>
                <w:bCs w:val="false"/>
                <w:color w:val="000000"/>
                <w:sz w:val="20"/>
                <w:szCs w:val="20"/>
              </w:rPr>
              <w:t xml:space="preserve">LLM function-calling (GPT-4o-mini / Claude Haiku / Llama-3)</w:t>
            </w:r>
          </w:p>
        </w:tc>
      </w:tr>
      <w:tr>
        <w:tc>
          <w:tcPr>
            <w:tcW w:type="dxa" w:w="3200"/>
            <w:shd w:fill="FFFFFF" w:val="clear"/>
            <w:tcMar>
              <w:top w:type="dxa" w:w="100"/>
              <w:left w:type="dxa" w:w="120"/>
              <w:bottom w:type="dxa" w:w="100"/>
              <w:right w:type="dxa" w:w="120"/>
            </w:tcMar>
          </w:tcPr>
          <w:p>
            <w:r>
              <w:rPr>
                <w:b w:val="false"/>
                <w:bCs w:val="false"/>
                <w:color w:val="000000"/>
                <w:sz w:val="20"/>
                <w:szCs w:val="20"/>
              </w:rPr>
              <w:t xml:space="preserve">Dialogue management</w:t>
            </w:r>
          </w:p>
        </w:tc>
        <w:tc>
          <w:tcPr>
            <w:tcW w:type="dxa" w:w="6300"/>
            <w:shd w:fill="FFFFFF" w:val="clear"/>
            <w:tcMar>
              <w:top w:type="dxa" w:w="100"/>
              <w:left w:type="dxa" w:w="120"/>
              <w:bottom w:type="dxa" w:w="100"/>
              <w:right w:type="dxa" w:w="120"/>
            </w:tcMar>
          </w:tcPr>
          <w:p>
            <w:r>
              <w:rPr>
                <w:b w:val="false"/>
                <w:bCs w:val="false"/>
                <w:color w:val="000000"/>
                <w:sz w:val="20"/>
                <w:szCs w:val="20"/>
              </w:rPr>
              <w:t xml:space="preserve">Python state machine + Redis session store</w:t>
            </w:r>
          </w:p>
        </w:tc>
      </w:tr>
      <w:tr>
        <w:tc>
          <w:tcPr>
            <w:tcW w:type="dxa" w:w="3200"/>
            <w:shd w:fill="F2F4F7" w:val="clear"/>
            <w:tcMar>
              <w:top w:type="dxa" w:w="100"/>
              <w:left w:type="dxa" w:w="120"/>
              <w:bottom w:type="dxa" w:w="100"/>
              <w:right w:type="dxa" w:w="120"/>
            </w:tcMar>
          </w:tcPr>
          <w:p>
            <w:r>
              <w:rPr>
                <w:b w:val="false"/>
                <w:bCs w:val="false"/>
                <w:color w:val="000000"/>
                <w:sz w:val="20"/>
                <w:szCs w:val="20"/>
              </w:rPr>
              <w:t xml:space="preserve">Knowledge base</w:t>
            </w:r>
          </w:p>
        </w:tc>
        <w:tc>
          <w:tcPr>
            <w:tcW w:type="dxa" w:w="6300"/>
            <w:shd w:fill="F2F4F7" w:val="clear"/>
            <w:tcMar>
              <w:top w:type="dxa" w:w="100"/>
              <w:left w:type="dxa" w:w="120"/>
              <w:bottom w:type="dxa" w:w="100"/>
              <w:right w:type="dxa" w:w="120"/>
            </w:tcMar>
          </w:tcPr>
          <w:p>
            <w:r>
              <w:rPr>
                <w:b w:val="false"/>
                <w:bCs w:val="false"/>
                <w:color w:val="000000"/>
                <w:sz w:val="20"/>
                <w:szCs w:val="20"/>
              </w:rPr>
              <w:t xml:space="preserve">Structured scheme dataset — JSON rules, documents, steps</w:t>
            </w:r>
          </w:p>
        </w:tc>
      </w:tr>
      <w:tr>
        <w:tc>
          <w:tcPr>
            <w:tcW w:type="dxa" w:w="3200"/>
            <w:shd w:fill="FFFFFF" w:val="clear"/>
            <w:tcMar>
              <w:top w:type="dxa" w:w="100"/>
              <w:left w:type="dxa" w:w="120"/>
              <w:bottom w:type="dxa" w:w="100"/>
              <w:right w:type="dxa" w:w="120"/>
            </w:tcMar>
          </w:tcPr>
          <w:p>
            <w:r>
              <w:rPr>
                <w:b w:val="false"/>
                <w:bCs w:val="false"/>
                <w:color w:val="000000"/>
                <w:sz w:val="20"/>
                <w:szCs w:val="20"/>
              </w:rPr>
              <w:t xml:space="preserve">Retrieval</w:t>
            </w:r>
          </w:p>
        </w:tc>
        <w:tc>
          <w:tcPr>
            <w:tcW w:type="dxa" w:w="6300"/>
            <w:shd w:fill="FFFFFF" w:val="clear"/>
            <w:tcMar>
              <w:top w:type="dxa" w:w="100"/>
              <w:left w:type="dxa" w:w="120"/>
              <w:bottom w:type="dxa" w:w="100"/>
              <w:right w:type="dxa" w:w="120"/>
            </w:tcMar>
          </w:tcPr>
          <w:p>
            <w:r>
              <w:rPr>
                <w:b w:val="false"/>
                <w:bCs w:val="false"/>
                <w:color w:val="000000"/>
                <w:sz w:val="20"/>
                <w:szCs w:val="20"/>
              </w:rPr>
              <w:t xml:space="preserve">Sentence-transformer embeddings + FAISS / Chroma (RAG)</w:t>
            </w:r>
          </w:p>
        </w:tc>
      </w:tr>
      <w:tr>
        <w:tc>
          <w:tcPr>
            <w:tcW w:type="dxa" w:w="3200"/>
            <w:shd w:fill="F2F4F7" w:val="clear"/>
            <w:tcMar>
              <w:top w:type="dxa" w:w="100"/>
              <w:left w:type="dxa" w:w="120"/>
              <w:bottom w:type="dxa" w:w="100"/>
              <w:right w:type="dxa" w:w="120"/>
            </w:tcMar>
          </w:tcPr>
          <w:p>
            <w:r>
              <w:rPr>
                <w:b w:val="false"/>
                <w:bCs w:val="false"/>
                <w:color w:val="000000"/>
                <w:sz w:val="20"/>
                <w:szCs w:val="20"/>
              </w:rPr>
              <w:t xml:space="preserve">Eligibility reasoning</w:t>
            </w:r>
          </w:p>
        </w:tc>
        <w:tc>
          <w:tcPr>
            <w:tcW w:type="dxa" w:w="6300"/>
            <w:shd w:fill="F2F4F7" w:val="clear"/>
            <w:tcMar>
              <w:top w:type="dxa" w:w="100"/>
              <w:left w:type="dxa" w:w="120"/>
              <w:bottom w:type="dxa" w:w="100"/>
              <w:right w:type="dxa" w:w="120"/>
            </w:tcMar>
          </w:tcPr>
          <w:p>
            <w:r>
              <w:rPr>
                <w:b w:val="false"/>
                <w:bCs w:val="false"/>
                <w:color w:val="000000"/>
                <w:sz w:val="20"/>
                <w:szCs w:val="20"/>
              </w:rPr>
              <w:t xml:space="preserve">Hybrid rule engine + LLM synthesis, confidence-scored</w:t>
            </w:r>
          </w:p>
        </w:tc>
      </w:tr>
      <w:tr>
        <w:tc>
          <w:tcPr>
            <w:tcW w:type="dxa" w:w="3200"/>
            <w:shd w:fill="FFFFFF" w:val="clear"/>
            <w:tcMar>
              <w:top w:type="dxa" w:w="100"/>
              <w:left w:type="dxa" w:w="120"/>
              <w:bottom w:type="dxa" w:w="100"/>
              <w:right w:type="dxa" w:w="120"/>
            </w:tcMar>
          </w:tcPr>
          <w:p>
            <w:r>
              <w:rPr>
                <w:b w:val="false"/>
                <w:bCs w:val="false"/>
                <w:color w:val="000000"/>
                <w:sz w:val="20"/>
                <w:szCs w:val="20"/>
              </w:rPr>
              <w:t xml:space="preserve">Text-to-speech</w:t>
            </w:r>
          </w:p>
        </w:tc>
        <w:tc>
          <w:tcPr>
            <w:tcW w:type="dxa" w:w="6300"/>
            <w:shd w:fill="FFFFFF" w:val="clear"/>
            <w:tcMar>
              <w:top w:type="dxa" w:w="100"/>
              <w:left w:type="dxa" w:w="120"/>
              <w:bottom w:type="dxa" w:w="100"/>
              <w:right w:type="dxa" w:w="120"/>
            </w:tcMar>
          </w:tcPr>
          <w:p>
            <w:r>
              <w:rPr>
                <w:b w:val="false"/>
                <w:bCs w:val="false"/>
                <w:color w:val="000000"/>
                <w:sz w:val="20"/>
                <w:szCs w:val="20"/>
              </w:rPr>
              <w:t xml:space="preserve">Coqui TTS / gTTS (multilingual)</w:t>
            </w:r>
          </w:p>
        </w:tc>
      </w:tr>
      <w:tr>
        <w:tc>
          <w:tcPr>
            <w:tcW w:type="dxa" w:w="3200"/>
            <w:shd w:fill="F2F4F7" w:val="clear"/>
            <w:tcMar>
              <w:top w:type="dxa" w:w="100"/>
              <w:left w:type="dxa" w:w="120"/>
              <w:bottom w:type="dxa" w:w="100"/>
              <w:right w:type="dxa" w:w="120"/>
            </w:tcMar>
          </w:tcPr>
          <w:p>
            <w:r>
              <w:rPr>
                <w:b w:val="false"/>
                <w:bCs w:val="false"/>
                <w:color w:val="000000"/>
                <w:sz w:val="20"/>
                <w:szCs w:val="20"/>
              </w:rPr>
              <w:t xml:space="preserve">Backend</w:t>
            </w:r>
          </w:p>
        </w:tc>
        <w:tc>
          <w:tcPr>
            <w:tcW w:type="dxa" w:w="6300"/>
            <w:shd w:fill="F2F4F7" w:val="clear"/>
            <w:tcMar>
              <w:top w:type="dxa" w:w="100"/>
              <w:left w:type="dxa" w:w="120"/>
              <w:bottom w:type="dxa" w:w="100"/>
              <w:right w:type="dxa" w:w="120"/>
            </w:tcMar>
          </w:tcPr>
          <w:p>
            <w:r>
              <w:rPr>
                <w:b w:val="false"/>
                <w:bCs w:val="false"/>
                <w:color w:val="000000"/>
                <w:sz w:val="20"/>
                <w:szCs w:val="20"/>
              </w:rPr>
              <w:t xml:space="preserve">Python · FastAPI</w:t>
            </w:r>
          </w:p>
        </w:tc>
      </w:tr>
      <w:tr>
        <w:tc>
          <w:tcPr>
            <w:tcW w:type="dxa" w:w="3200"/>
            <w:shd w:fill="FFFFFF" w:val="clear"/>
            <w:tcMar>
              <w:top w:type="dxa" w:w="100"/>
              <w:left w:type="dxa" w:w="120"/>
              <w:bottom w:type="dxa" w:w="100"/>
              <w:right w:type="dxa" w:w="120"/>
            </w:tcMar>
          </w:tcPr>
          <w:p>
            <w:r>
              <w:rPr>
                <w:b w:val="false"/>
                <w:bCs w:val="false"/>
                <w:color w:val="000000"/>
                <w:sz w:val="20"/>
                <w:szCs w:val="20"/>
              </w:rPr>
              <w:t xml:space="preserve">Frontend</w:t>
            </w:r>
          </w:p>
        </w:tc>
        <w:tc>
          <w:tcPr>
            <w:tcW w:type="dxa" w:w="6300"/>
            <w:shd w:fill="FFFFFF" w:val="clear"/>
            <w:tcMar>
              <w:top w:type="dxa" w:w="100"/>
              <w:left w:type="dxa" w:w="120"/>
              <w:bottom w:type="dxa" w:w="100"/>
              <w:right w:type="dxa" w:w="120"/>
            </w:tcMar>
          </w:tcPr>
          <w:p>
            <w:r>
              <w:rPr>
                <w:b w:val="false"/>
                <w:bCs w:val="false"/>
                <w:color w:val="000000"/>
                <w:sz w:val="20"/>
                <w:szCs w:val="20"/>
              </w:rPr>
              <w:t xml:space="preserve">React (web) / Flutter (mobile)</w:t>
            </w:r>
          </w:p>
        </w:tc>
      </w:tr>
    </w:tbl>
    <w:p>
      <w:pPr>
        <w:spacing w:after="160" w:line="300"/>
      </w:pPr>
      <w:r>
        <w:rPr>
          <w:sz w:val="22"/>
          <w:szCs w:val="22"/>
        </w:rPr>
        <w:t xml:space="preserve">Not required for Round 1: full government integration, perfect speech recognition, complete policy coverage, or production deployment. Focus is reasoning quality and adaptability under incomplete information.</w:t>
      </w:r>
    </w:p>
    <w:p>
      <w:pPr>
        <w:pStyle w:val="Heading1"/>
        <w:spacing w:after="160" w:before="320"/>
      </w:pPr>
      <w:r>
        <w:t xml:space="preserve">7. Development plan (Stage 2 build window)</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900"/>
      </w:tblGrid>
      <w:tr>
        <w:trPr>
          <w:tblHeader/>
        </w:trPr>
        <w:tc>
          <w:tcPr>
            <w:tcW w:type="dxa" w:w="1400"/>
            <w:shd w:fill="1B2A4A" w:val="clear"/>
            <w:tcMar>
              <w:top w:type="dxa" w:w="100"/>
              <w:left w:type="dxa" w:w="120"/>
              <w:bottom w:type="dxa" w:w="100"/>
              <w:right w:type="dxa" w:w="120"/>
            </w:tcMar>
          </w:tcPr>
          <w:p>
            <w:r>
              <w:rPr>
                <w:b/>
                <w:bCs/>
                <w:color w:val="FFFFFF"/>
                <w:sz w:val="20"/>
                <w:szCs w:val="20"/>
              </w:rPr>
              <w:t xml:space="preserve">Phase</w:t>
            </w:r>
          </w:p>
        </w:tc>
        <w:tc>
          <w:tcPr>
            <w:tcW w:type="dxa" w:w="2200"/>
            <w:shd w:fill="1B2A4A" w:val="clear"/>
            <w:tcMar>
              <w:top w:type="dxa" w:w="100"/>
              <w:left w:type="dxa" w:w="120"/>
              <w:bottom w:type="dxa" w:w="100"/>
              <w:right w:type="dxa" w:w="120"/>
            </w:tcMar>
          </w:tcPr>
          <w:p>
            <w:r>
              <w:rPr>
                <w:b/>
                <w:bCs/>
                <w:color w:val="FFFFFF"/>
                <w:sz w:val="20"/>
                <w:szCs w:val="20"/>
              </w:rPr>
              <w:t xml:space="preserve">Focus</w:t>
            </w:r>
          </w:p>
        </w:tc>
        <w:tc>
          <w:tcPr>
            <w:tcW w:type="dxa" w:w="5900"/>
            <w:shd w:fill="1B2A4A" w:val="clear"/>
            <w:tcMar>
              <w:top w:type="dxa" w:w="100"/>
              <w:left w:type="dxa" w:w="120"/>
              <w:bottom w:type="dxa" w:w="100"/>
              <w:right w:type="dxa" w:w="120"/>
            </w:tcMar>
          </w:tcPr>
          <w:p>
            <w:r>
              <w:rPr>
                <w:b/>
                <w:bCs/>
                <w:color w:val="FFFFFF"/>
                <w:sz w:val="20"/>
                <w:szCs w:val="20"/>
              </w:rPr>
              <w:t xml:space="preserve">What gets built</w:t>
            </w:r>
          </w:p>
        </w:tc>
      </w:tr>
      <w:tr>
        <w:tc>
          <w:tcPr>
            <w:tcW w:type="dxa" w:w="1400"/>
            <w:shd w:fill="F2F4F7" w:val="clear"/>
            <w:tcMar>
              <w:top w:type="dxa" w:w="100"/>
              <w:left w:type="dxa" w:w="120"/>
              <w:bottom w:type="dxa" w:w="100"/>
              <w:right w:type="dxa" w:w="120"/>
            </w:tcMar>
          </w:tcPr>
          <w:p>
            <w:r>
              <w:rPr>
                <w:b w:val="false"/>
                <w:bCs w:val="false"/>
                <w:color w:val="000000"/>
                <w:sz w:val="20"/>
                <w:szCs w:val="20"/>
              </w:rPr>
              <w:t xml:space="preserve">Hour 1</w:t>
            </w:r>
          </w:p>
        </w:tc>
        <w:tc>
          <w:tcPr>
            <w:tcW w:type="dxa" w:w="2200"/>
            <w:shd w:fill="F2F4F7" w:val="clear"/>
            <w:tcMar>
              <w:top w:type="dxa" w:w="100"/>
              <w:left w:type="dxa" w:w="120"/>
              <w:bottom w:type="dxa" w:w="100"/>
              <w:right w:type="dxa" w:w="120"/>
            </w:tcMar>
          </w:tcPr>
          <w:p>
            <w:r>
              <w:rPr>
                <w:b w:val="false"/>
                <w:bCs w:val="false"/>
                <w:color w:val="000000"/>
                <w:sz w:val="20"/>
                <w:szCs w:val="20"/>
              </w:rPr>
              <w:t xml:space="preserve">Foundations</w:t>
            </w:r>
          </w:p>
        </w:tc>
        <w:tc>
          <w:tcPr>
            <w:tcW w:type="dxa" w:w="5900"/>
            <w:shd w:fill="F2F4F7" w:val="clear"/>
            <w:tcMar>
              <w:top w:type="dxa" w:w="100"/>
              <w:left w:type="dxa" w:w="120"/>
              <w:bottom w:type="dxa" w:w="100"/>
              <w:right w:type="dxa" w:w="120"/>
            </w:tcMar>
          </w:tcPr>
          <w:p>
            <w:r>
              <w:rPr>
                <w:b w:val="false"/>
                <w:bCs w:val="false"/>
                <w:color w:val="000000"/>
                <w:sz w:val="20"/>
                <w:szCs w:val="20"/>
              </w:rPr>
              <w:t xml:space="preserve">Synthetic scheme dataset (6–8 schemes); scaffold FastAPI backend and UI shell</w:t>
            </w:r>
          </w:p>
        </w:tc>
      </w:tr>
      <w:tr>
        <w:tc>
          <w:tcPr>
            <w:tcW w:type="dxa" w:w="1400"/>
            <w:shd w:fill="FFFFFF" w:val="clear"/>
            <w:tcMar>
              <w:top w:type="dxa" w:w="100"/>
              <w:left w:type="dxa" w:w="120"/>
              <w:bottom w:type="dxa" w:w="100"/>
              <w:right w:type="dxa" w:w="120"/>
            </w:tcMar>
          </w:tcPr>
          <w:p>
            <w:r>
              <w:rPr>
                <w:b w:val="false"/>
                <w:bCs w:val="false"/>
                <w:color w:val="000000"/>
                <w:sz w:val="20"/>
                <w:szCs w:val="20"/>
              </w:rPr>
              <w:t xml:space="preserve">Hour 2</w:t>
            </w:r>
          </w:p>
        </w:tc>
        <w:tc>
          <w:tcPr>
            <w:tcW w:type="dxa" w:w="2200"/>
            <w:shd w:fill="FFFFFF" w:val="clear"/>
            <w:tcMar>
              <w:top w:type="dxa" w:w="100"/>
              <w:left w:type="dxa" w:w="120"/>
              <w:bottom w:type="dxa" w:w="100"/>
              <w:right w:type="dxa" w:w="120"/>
            </w:tcMar>
          </w:tcPr>
          <w:p>
            <w:r>
              <w:rPr>
                <w:b w:val="false"/>
                <w:bCs w:val="false"/>
                <w:color w:val="000000"/>
                <w:sz w:val="20"/>
                <w:szCs w:val="20"/>
              </w:rPr>
              <w:t xml:space="preserve">Voice loop</w:t>
            </w:r>
          </w:p>
        </w:tc>
        <w:tc>
          <w:tcPr>
            <w:tcW w:type="dxa" w:w="5900"/>
            <w:shd w:fill="FFFFFF" w:val="clear"/>
            <w:tcMar>
              <w:top w:type="dxa" w:w="100"/>
              <w:left w:type="dxa" w:w="120"/>
              <w:bottom w:type="dxa" w:w="100"/>
              <w:right w:type="dxa" w:w="120"/>
            </w:tcMar>
          </w:tcPr>
          <w:p>
            <w:r>
              <w:rPr>
                <w:b w:val="false"/>
                <w:bCs w:val="false"/>
                <w:color w:val="000000"/>
                <w:sz w:val="20"/>
                <w:szCs w:val="20"/>
              </w:rPr>
              <w:t xml:space="preserve">Wire Whisper ASR in and TTS out; end-to-end voice round-trip with a stub reply</w:t>
            </w:r>
          </w:p>
        </w:tc>
      </w:tr>
      <w:tr>
        <w:tc>
          <w:tcPr>
            <w:tcW w:type="dxa" w:w="1400"/>
            <w:shd w:fill="F2F4F7" w:val="clear"/>
            <w:tcMar>
              <w:top w:type="dxa" w:w="100"/>
              <w:left w:type="dxa" w:w="120"/>
              <w:bottom w:type="dxa" w:w="100"/>
              <w:right w:type="dxa" w:w="120"/>
            </w:tcMar>
          </w:tcPr>
          <w:p>
            <w:r>
              <w:rPr>
                <w:b w:val="false"/>
                <w:bCs w:val="false"/>
                <w:color w:val="000000"/>
                <w:sz w:val="20"/>
                <w:szCs w:val="20"/>
              </w:rPr>
              <w:t xml:space="preserve">Hour 3</w:t>
            </w:r>
          </w:p>
        </w:tc>
        <w:tc>
          <w:tcPr>
            <w:tcW w:type="dxa" w:w="2200"/>
            <w:shd w:fill="F2F4F7" w:val="clear"/>
            <w:tcMar>
              <w:top w:type="dxa" w:w="100"/>
              <w:left w:type="dxa" w:w="120"/>
              <w:bottom w:type="dxa" w:w="100"/>
              <w:right w:type="dxa" w:w="120"/>
            </w:tcMar>
          </w:tcPr>
          <w:p>
            <w:r>
              <w:rPr>
                <w:b w:val="false"/>
                <w:bCs w:val="false"/>
                <w:color w:val="000000"/>
                <w:sz w:val="20"/>
                <w:szCs w:val="20"/>
              </w:rPr>
              <w:t xml:space="preserve">Reasoning brain</w:t>
            </w:r>
          </w:p>
        </w:tc>
        <w:tc>
          <w:tcPr>
            <w:tcW w:type="dxa" w:w="5900"/>
            <w:shd w:fill="F2F4F7" w:val="clear"/>
            <w:tcMar>
              <w:top w:type="dxa" w:w="100"/>
              <w:left w:type="dxa" w:w="120"/>
              <w:bottom w:type="dxa" w:w="100"/>
              <w:right w:type="dxa" w:w="120"/>
            </w:tcMar>
          </w:tcPr>
          <w:p>
            <w:r>
              <w:rPr>
                <w:b w:val="false"/>
                <w:bCs w:val="false"/>
                <w:color w:val="000000"/>
                <w:sz w:val="20"/>
                <w:szCs w:val="20"/>
              </w:rPr>
              <w:t xml:space="preserve">LLM intent/entity/ambiguity extractor; dialogue manager's clarify-vs-proceed logic</w:t>
            </w:r>
          </w:p>
        </w:tc>
      </w:tr>
      <w:tr>
        <w:tc>
          <w:tcPr>
            <w:tcW w:type="dxa" w:w="1400"/>
            <w:shd w:fill="FFFFFF" w:val="clear"/>
            <w:tcMar>
              <w:top w:type="dxa" w:w="100"/>
              <w:left w:type="dxa" w:w="120"/>
              <w:bottom w:type="dxa" w:w="100"/>
              <w:right w:type="dxa" w:w="120"/>
            </w:tcMar>
          </w:tcPr>
          <w:p>
            <w:r>
              <w:rPr>
                <w:b w:val="false"/>
                <w:bCs w:val="false"/>
                <w:color w:val="000000"/>
                <w:sz w:val="20"/>
                <w:szCs w:val="20"/>
              </w:rPr>
              <w:t xml:space="preserve">Hour 4</w:t>
            </w:r>
          </w:p>
        </w:tc>
        <w:tc>
          <w:tcPr>
            <w:tcW w:type="dxa" w:w="2200"/>
            <w:shd w:fill="FFFFFF" w:val="clear"/>
            <w:tcMar>
              <w:top w:type="dxa" w:w="100"/>
              <w:left w:type="dxa" w:w="120"/>
              <w:bottom w:type="dxa" w:w="100"/>
              <w:right w:type="dxa" w:w="120"/>
            </w:tcMar>
          </w:tcPr>
          <w:p>
            <w:r>
              <w:rPr>
                <w:b w:val="false"/>
                <w:bCs w:val="false"/>
                <w:color w:val="000000"/>
                <w:sz w:val="20"/>
                <w:szCs w:val="20"/>
              </w:rPr>
              <w:t xml:space="preserve">Eligibility engine</w:t>
            </w:r>
          </w:p>
        </w:tc>
        <w:tc>
          <w:tcPr>
            <w:tcW w:type="dxa" w:w="5900"/>
            <w:shd w:fill="FFFFFF" w:val="clear"/>
            <w:tcMar>
              <w:top w:type="dxa" w:w="100"/>
              <w:left w:type="dxa" w:w="120"/>
              <w:bottom w:type="dxa" w:w="100"/>
              <w:right w:type="dxa" w:w="120"/>
            </w:tcMar>
          </w:tcPr>
          <w:p>
            <w:r>
              <w:rPr>
                <w:b w:val="false"/>
                <w:bCs w:val="false"/>
                <w:color w:val="000000"/>
                <w:sz w:val="20"/>
                <w:szCs w:val="20"/>
              </w:rPr>
              <w:t xml:space="preserve">RAG retrieval over schemes + hybrid rule engine + confidence-scored reasoning trace</w:t>
            </w:r>
          </w:p>
        </w:tc>
      </w:tr>
      <w:tr>
        <w:tc>
          <w:tcPr>
            <w:tcW w:type="dxa" w:w="1400"/>
            <w:shd w:fill="F2F4F7" w:val="clear"/>
            <w:tcMar>
              <w:top w:type="dxa" w:w="100"/>
              <w:left w:type="dxa" w:w="120"/>
              <w:bottom w:type="dxa" w:w="100"/>
              <w:right w:type="dxa" w:w="120"/>
            </w:tcMar>
          </w:tcPr>
          <w:p>
            <w:r>
              <w:rPr>
                <w:b w:val="false"/>
                <w:bCs w:val="false"/>
                <w:color w:val="000000"/>
                <w:sz w:val="20"/>
                <w:szCs w:val="20"/>
              </w:rPr>
              <w:t xml:space="preserve">Hour 5</w:t>
            </w:r>
          </w:p>
        </w:tc>
        <w:tc>
          <w:tcPr>
            <w:tcW w:type="dxa" w:w="2200"/>
            <w:shd w:fill="F2F4F7" w:val="clear"/>
            <w:tcMar>
              <w:top w:type="dxa" w:w="100"/>
              <w:left w:type="dxa" w:w="120"/>
              <w:bottom w:type="dxa" w:w="100"/>
              <w:right w:type="dxa" w:w="120"/>
            </w:tcMar>
          </w:tcPr>
          <w:p>
            <w:r>
              <w:rPr>
                <w:b w:val="false"/>
                <w:bCs w:val="false"/>
                <w:color w:val="000000"/>
                <w:sz w:val="20"/>
                <w:szCs w:val="20"/>
              </w:rPr>
              <w:t xml:space="preserve">Integrate &amp; demo</w:t>
            </w:r>
          </w:p>
        </w:tc>
        <w:tc>
          <w:tcPr>
            <w:tcW w:type="dxa" w:w="5900"/>
            <w:shd w:fill="F2F4F7" w:val="clear"/>
            <w:tcMar>
              <w:top w:type="dxa" w:w="100"/>
              <w:left w:type="dxa" w:w="120"/>
              <w:bottom w:type="dxa" w:w="100"/>
              <w:right w:type="dxa" w:w="120"/>
            </w:tcMar>
          </w:tcPr>
          <w:p>
            <w:r>
              <w:rPr>
                <w:b w:val="false"/>
                <w:bCs w:val="false"/>
                <w:color w:val="000000"/>
                <w:sz w:val="20"/>
                <w:szCs w:val="20"/>
              </w:rPr>
              <w:t xml:space="preserve">Full pipeline, visible reasoning panel, rehearse an ambiguous-query demo</w:t>
            </w:r>
          </w:p>
        </w:tc>
      </w:tr>
    </w:tbl>
    <w:p>
      <w:pPr>
        <w:spacing w:after="160" w:line="300"/>
      </w:pPr>
      <w:r>
        <w:rPr>
          <w:b/>
          <w:bCs/>
          <w:sz w:val="22"/>
          <w:szCs w:val="22"/>
        </w:rPr>
        <w:t xml:space="preserve">Demo strategy: </w:t>
      </w:r>
      <w:r>
        <w:rPr>
          <w:sz w:val="22"/>
          <w:szCs w:val="22"/>
        </w:rPr>
        <w:t xml:space="preserve">Lead with an incomplete, informal query (“I don't have a fixed job, sometimes I do labour work”) and show the system asking one sharp follow-up, then reasoning with a stated confidence level.</w:t>
      </w:r>
    </w:p>
    <w:p>
      <w:pPr>
        <w:pStyle w:val="Heading1"/>
        <w:spacing w:after="160" w:before="320"/>
      </w:pPr>
      <w:r>
        <w:t xml:space="preserve">8. Data sources — genuineness and safety</w:t>
      </w:r>
    </w:p>
    <w:p>
      <w:pPr>
        <w:pStyle w:val="Heading2"/>
        <w:spacing w:after="120" w:before="240"/>
      </w:pPr>
      <w:r>
        <w:t xml:space="preserve">Hackathon build (Round 1)</w:t>
      </w:r>
    </w:p>
    <w:p>
      <w:pPr>
        <w:spacing w:after="160" w:line="300"/>
      </w:pPr>
      <w:r>
        <w:rPr>
          <w:sz w:val="22"/>
          <w:szCs w:val="22"/>
        </w:rPr>
        <w:t xml:space="preserve">A synthetic dataset of 6–8 schemes is used, which is explicitly permitted by the problem statement: government-related data “may be publicly sourced, or synthetic/simulated.”</w:t>
      </w:r>
    </w:p>
    <w:p>
      <w:pPr>
        <w:pStyle w:val="Heading2"/>
        <w:spacing w:after="120" w:before="240"/>
      </w:pPr>
      <w:r>
        <w:t xml:space="preserve">Real-world / production data sources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3400"/>
      </w:tblGrid>
      <w:tr>
        <w:trPr>
          <w:tblHeader/>
        </w:trPr>
        <w:tc>
          <w:tcPr>
            <w:tcW w:type="dxa" w:w="2500"/>
            <w:shd w:fill="1B2A4A" w:val="clear"/>
            <w:tcMar>
              <w:top w:type="dxa" w:w="100"/>
              <w:left w:type="dxa" w:w="120"/>
              <w:bottom w:type="dxa" w:w="100"/>
              <w:right w:type="dxa" w:w="120"/>
            </w:tcMar>
          </w:tcPr>
          <w:p>
            <w:r>
              <w:rPr>
                <w:b/>
                <w:bCs/>
                <w:color w:val="FFFFFF"/>
                <w:sz w:val="20"/>
                <w:szCs w:val="20"/>
              </w:rPr>
              <w:t xml:space="preserve">Source</w:t>
            </w:r>
          </w:p>
        </w:tc>
        <w:tc>
          <w:tcPr>
            <w:tcW w:type="dxa" w:w="3600"/>
            <w:shd w:fill="1B2A4A" w:val="clear"/>
            <w:tcMar>
              <w:top w:type="dxa" w:w="100"/>
              <w:left w:type="dxa" w:w="120"/>
              <w:bottom w:type="dxa" w:w="100"/>
              <w:right w:type="dxa" w:w="120"/>
            </w:tcMar>
          </w:tcPr>
          <w:p>
            <w:r>
              <w:rPr>
                <w:b/>
                <w:bCs/>
                <w:color w:val="FFFFFF"/>
                <w:sz w:val="20"/>
                <w:szCs w:val="20"/>
              </w:rPr>
              <w:t xml:space="preserve">What it is</w:t>
            </w:r>
          </w:p>
        </w:tc>
        <w:tc>
          <w:tcPr>
            <w:tcW w:type="dxa" w:w="3400"/>
            <w:shd w:fill="1B2A4A" w:val="clear"/>
            <w:tcMar>
              <w:top w:type="dxa" w:w="100"/>
              <w:left w:type="dxa" w:w="120"/>
              <w:bottom w:type="dxa" w:w="100"/>
              <w:right w:type="dxa" w:w="120"/>
            </w:tcMar>
          </w:tcPr>
          <w:p>
            <w:r>
              <w:rPr>
                <w:b/>
                <w:bCs/>
                <w:color w:val="FFFFFF"/>
                <w:sz w:val="20"/>
                <w:szCs w:val="20"/>
              </w:rPr>
              <w:t xml:space="preserve">Why it's legitimate</w:t>
            </w:r>
          </w:p>
        </w:tc>
      </w:tr>
      <w:tr>
        <w:tc>
          <w:tcPr>
            <w:tcW w:type="dxa" w:w="2500"/>
            <w:shd w:fill="F2F4F7" w:val="clear"/>
            <w:tcMar>
              <w:top w:type="dxa" w:w="100"/>
              <w:left w:type="dxa" w:w="120"/>
              <w:bottom w:type="dxa" w:w="100"/>
              <w:right w:type="dxa" w:w="120"/>
            </w:tcMar>
          </w:tcPr>
          <w:p>
            <w:r>
              <w:rPr>
                <w:b w:val="false"/>
                <w:bCs w:val="false"/>
                <w:color w:val="000000"/>
                <w:sz w:val="20"/>
                <w:szCs w:val="20"/>
              </w:rPr>
              <w:t xml:space="preserve">myScheme.gov.in</w:t>
            </w:r>
          </w:p>
        </w:tc>
        <w:tc>
          <w:tcPr>
            <w:tcW w:type="dxa" w:w="3600"/>
            <w:shd w:fill="F2F4F7" w:val="clear"/>
            <w:tcMar>
              <w:top w:type="dxa" w:w="100"/>
              <w:left w:type="dxa" w:w="120"/>
              <w:bottom w:type="dxa" w:w="100"/>
              <w:right w:type="dxa" w:w="120"/>
            </w:tcMar>
          </w:tcPr>
          <w:p>
            <w:r>
              <w:rPr>
                <w:b w:val="false"/>
                <w:bCs w:val="false"/>
                <w:color w:val="000000"/>
                <w:sz w:val="20"/>
                <w:szCs w:val="20"/>
              </w:rPr>
              <w:t xml:space="preserve">Official Government of India platform (Digital India / MeitY), launched 2022</w:t>
            </w:r>
          </w:p>
        </w:tc>
        <w:tc>
          <w:tcPr>
            <w:tcW w:type="dxa" w:w="3400"/>
            <w:shd w:fill="F2F4F7" w:val="clear"/>
            <w:tcMar>
              <w:top w:type="dxa" w:w="100"/>
              <w:left w:type="dxa" w:w="120"/>
              <w:bottom w:type="dxa" w:w="100"/>
              <w:right w:type="dxa" w:w="120"/>
            </w:tcMar>
          </w:tcPr>
          <w:p>
            <w:r>
              <w:rPr>
                <w:b w:val="false"/>
                <w:bCs w:val="false"/>
                <w:color w:val="000000"/>
                <w:sz w:val="20"/>
                <w:szCs w:val="20"/>
              </w:rPr>
              <w:t xml:space="preserve">Single official national platform for Central and State scheme eligibility, benefits, and application steps</w:t>
            </w:r>
          </w:p>
        </w:tc>
      </w:tr>
      <w:tr>
        <w:tc>
          <w:tcPr>
            <w:tcW w:type="dxa" w:w="2500"/>
            <w:shd w:fill="FFFFFF" w:val="clear"/>
            <w:tcMar>
              <w:top w:type="dxa" w:w="100"/>
              <w:left w:type="dxa" w:w="120"/>
              <w:bottom w:type="dxa" w:w="100"/>
              <w:right w:type="dxa" w:w="120"/>
            </w:tcMar>
          </w:tcPr>
          <w:p>
            <w:r>
              <w:rPr>
                <w:b w:val="false"/>
                <w:bCs w:val="false"/>
                <w:color w:val="000000"/>
                <w:sz w:val="20"/>
                <w:szCs w:val="20"/>
              </w:rPr>
              <w:t xml:space="preserve">data.gov.in</w:t>
            </w:r>
          </w:p>
        </w:tc>
        <w:tc>
          <w:tcPr>
            <w:tcW w:type="dxa" w:w="3600"/>
            <w:shd w:fill="FFFFFF" w:val="clear"/>
            <w:tcMar>
              <w:top w:type="dxa" w:w="100"/>
              <w:left w:type="dxa" w:w="120"/>
              <w:bottom w:type="dxa" w:w="100"/>
              <w:right w:type="dxa" w:w="120"/>
            </w:tcMar>
          </w:tcPr>
          <w:p>
            <w:r>
              <w:rPr>
                <w:b w:val="false"/>
                <w:bCs w:val="false"/>
                <w:color w:val="000000"/>
                <w:sz w:val="20"/>
                <w:szCs w:val="20"/>
              </w:rPr>
              <w:t xml:space="preserve">Government of India's Open Government Data (OGD) platform, live since 2012</w:t>
            </w:r>
          </w:p>
        </w:tc>
        <w:tc>
          <w:tcPr>
            <w:tcW w:type="dxa" w:w="3400"/>
            <w:shd w:fill="FFFFFF" w:val="clear"/>
            <w:tcMar>
              <w:top w:type="dxa" w:w="100"/>
              <w:left w:type="dxa" w:w="120"/>
              <w:bottom w:type="dxa" w:w="100"/>
              <w:right w:type="dxa" w:w="120"/>
            </w:tcMar>
          </w:tcPr>
          <w:p>
            <w:r>
              <w:rPr>
                <w:b w:val="false"/>
                <w:bCs w:val="false"/>
                <w:color w:val="000000"/>
                <w:sz w:val="20"/>
                <w:szCs w:val="20"/>
              </w:rPr>
              <w:t xml:space="preserve">Documented REST API with API keys; publishes 100,000+ official government datasets under the National Data Sharing and Accessibility Policy</w:t>
            </w:r>
          </w:p>
        </w:tc>
      </w:tr>
      <w:tr>
        <w:tc>
          <w:tcPr>
            <w:tcW w:type="dxa" w:w="2500"/>
            <w:shd w:fill="F2F4F7" w:val="clear"/>
            <w:tcMar>
              <w:top w:type="dxa" w:w="100"/>
              <w:left w:type="dxa" w:w="120"/>
              <w:bottom w:type="dxa" w:w="100"/>
              <w:right w:type="dxa" w:w="120"/>
            </w:tcMar>
          </w:tcPr>
          <w:p>
            <w:r>
              <w:rPr>
                <w:b w:val="false"/>
                <w:bCs w:val="false"/>
                <w:color w:val="000000"/>
                <w:sz w:val="20"/>
                <w:szCs w:val="20"/>
              </w:rPr>
              <w:t xml:space="preserve">Individual ministry / state portals</w:t>
            </w:r>
          </w:p>
        </w:tc>
        <w:tc>
          <w:tcPr>
            <w:tcW w:type="dxa" w:w="3600"/>
            <w:shd w:fill="F2F4F7" w:val="clear"/>
            <w:tcMar>
              <w:top w:type="dxa" w:w="100"/>
              <w:left w:type="dxa" w:w="120"/>
              <w:bottom w:type="dxa" w:w="100"/>
              <w:right w:type="dxa" w:w="120"/>
            </w:tcMar>
          </w:tcPr>
          <w:p>
            <w:r>
              <w:rPr>
                <w:b w:val="false"/>
                <w:bCs w:val="false"/>
                <w:color w:val="000000"/>
                <w:sz w:val="20"/>
                <w:szCs w:val="20"/>
              </w:rPr>
              <w:t xml:space="preserve">Department-specific sites for state schemes not yet on myScheme</w:t>
            </w:r>
          </w:p>
        </w:tc>
        <w:tc>
          <w:tcPr>
            <w:tcW w:type="dxa" w:w="3400"/>
            <w:shd w:fill="F2F4F7" w:val="clear"/>
            <w:tcMar>
              <w:top w:type="dxa" w:w="100"/>
              <w:left w:type="dxa" w:w="120"/>
              <w:bottom w:type="dxa" w:w="100"/>
              <w:right w:type="dxa" w:w="120"/>
            </w:tcMar>
          </w:tcPr>
          <w:p>
            <w:r>
              <w:rPr>
                <w:b w:val="false"/>
                <w:bCs w:val="false"/>
                <w:color w:val="000000"/>
                <w:sz w:val="20"/>
                <w:szCs w:val="20"/>
              </w:rPr>
              <w:t xml:space="preserve">Fallback source of truth for schemes not yet centrally onboarded</w:t>
            </w:r>
          </w:p>
        </w:tc>
      </w:tr>
    </w:tbl>
    <w:p>
      <w:pPr>
        <w:spacing w:after="160" w:line="300"/>
      </w:pPr>
      <w:r>
        <w:rPr>
          <w:sz w:val="22"/>
          <w:szCs w:val="22"/>
        </w:rPr>
        <w:t xml:space="preserve">Note: lookalike/unofficial sites such as myscheme.org (no .gov.in) mimic the real government portal's branding. Distinguishing official .gov.in sources from imposters is itself part of the same access problem this project addresses.</w:t>
      </w:r>
    </w:p>
    <w:p>
      <w:pPr>
        <w:spacing w:after="160" w:line="300"/>
      </w:pPr>
      <w:r>
        <w:rPr>
          <w:b/>
          <w:bCs/>
          <w:sz w:val="22"/>
          <w:szCs w:val="22"/>
        </w:rPr>
        <w:t xml:space="preserve">Privacy stance: </w:t>
      </w:r>
      <w:r>
        <w:rPr>
          <w:sz w:val="22"/>
          <w:szCs w:val="22"/>
        </w:rPr>
        <w:t xml:space="preserve">Only publicly published scheme rules are ingested — not citizen data. Personal information shared in conversation stays in-session; no PII is persisted in the Round 1 build.</w:t>
      </w:r>
    </w:p>
    <w:p>
      <w:pPr>
        <w:pStyle w:val="Heading1"/>
        <w:spacing w:after="160" w:before="320"/>
      </w:pPr>
      <w:r>
        <w:t xml:space="preserve">9. Market and funding context</w:t>
      </w:r>
    </w:p>
    <w:p>
      <w:pPr>
        <w:pStyle w:val="Heading2"/>
        <w:spacing w:after="120" w:before="240"/>
      </w:pPr>
      <w:r>
        <w:t xml:space="preserve">Market sizing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900"/>
      </w:tblGrid>
      <w:tr>
        <w:trPr>
          <w:tblHeader/>
        </w:trPr>
        <w:tc>
          <w:tcPr>
            <w:tcW w:type="dxa" w:w="1400"/>
            <w:shd w:fill="1B2A4A" w:val="clear"/>
            <w:tcMar>
              <w:top w:type="dxa" w:w="100"/>
              <w:left w:type="dxa" w:w="120"/>
              <w:bottom w:type="dxa" w:w="100"/>
              <w:right w:type="dxa" w:w="120"/>
            </w:tcMar>
          </w:tcPr>
          <w:p>
            <w:r>
              <w:rPr>
                <w:b/>
                <w:bCs/>
                <w:color w:val="FFFFFF"/>
                <w:sz w:val="20"/>
                <w:szCs w:val="20"/>
              </w:rPr>
              <w:t xml:space="preserve">Layer</w:t>
            </w:r>
          </w:p>
        </w:tc>
        <w:tc>
          <w:tcPr>
            <w:tcW w:type="dxa" w:w="4200"/>
            <w:shd w:fill="1B2A4A" w:val="clear"/>
            <w:tcMar>
              <w:top w:type="dxa" w:w="100"/>
              <w:left w:type="dxa" w:w="120"/>
              <w:bottom w:type="dxa" w:w="100"/>
              <w:right w:type="dxa" w:w="120"/>
            </w:tcMar>
          </w:tcPr>
          <w:p>
            <w:r>
              <w:rPr>
                <w:b/>
                <w:bCs/>
                <w:color w:val="FFFFFF"/>
                <w:sz w:val="20"/>
                <w:szCs w:val="20"/>
              </w:rPr>
              <w:t xml:space="preserve">Size</w:t>
            </w:r>
          </w:p>
        </w:tc>
        <w:tc>
          <w:tcPr>
            <w:tcW w:type="dxa" w:w="3900"/>
            <w:shd w:fill="1B2A4A" w:val="clear"/>
            <w:tcMar>
              <w:top w:type="dxa" w:w="100"/>
              <w:left w:type="dxa" w:w="120"/>
              <w:bottom w:type="dxa" w:w="100"/>
              <w:right w:type="dxa" w:w="120"/>
            </w:tcMar>
          </w:tcPr>
          <w:p>
            <w:r>
              <w:rPr>
                <w:b/>
                <w:bCs/>
                <w:color w:val="FFFFFF"/>
                <w:sz w:val="20"/>
                <w:szCs w:val="20"/>
              </w:rPr>
              <w:t xml:space="preserve">What it represents</w:t>
            </w:r>
          </w:p>
        </w:tc>
      </w:tr>
      <w:tr>
        <w:tc>
          <w:tcPr>
            <w:tcW w:type="dxa" w:w="1400"/>
            <w:shd w:fill="F2F4F7" w:val="clear"/>
            <w:tcMar>
              <w:top w:type="dxa" w:w="100"/>
              <w:left w:type="dxa" w:w="120"/>
              <w:bottom w:type="dxa" w:w="100"/>
              <w:right w:type="dxa" w:w="120"/>
            </w:tcMar>
          </w:tcPr>
          <w:p>
            <w:r>
              <w:rPr>
                <w:b w:val="false"/>
                <w:bCs w:val="false"/>
                <w:color w:val="000000"/>
                <w:sz w:val="20"/>
                <w:szCs w:val="20"/>
              </w:rPr>
              <w:t xml:space="preserve">TAM</w:t>
            </w:r>
          </w:p>
        </w:tc>
        <w:tc>
          <w:tcPr>
            <w:tcW w:type="dxa" w:w="4200"/>
            <w:shd w:fill="F2F4F7" w:val="clear"/>
            <w:tcMar>
              <w:top w:type="dxa" w:w="100"/>
              <w:left w:type="dxa" w:w="120"/>
              <w:bottom w:type="dxa" w:w="100"/>
              <w:right w:type="dxa" w:w="120"/>
            </w:tcMar>
          </w:tcPr>
          <w:p>
            <w:r>
              <w:rPr>
                <w:b w:val="false"/>
                <w:bCs w:val="false"/>
                <w:color w:val="000000"/>
                <w:sz w:val="20"/>
                <w:szCs w:val="20"/>
              </w:rPr>
              <w:t xml:space="preserve">Global AI-in-government: $22.4B (2024) → $31.0B (2026) → $98.1B (2033), 17.8% CAGR</w:t>
            </w:r>
          </w:p>
        </w:tc>
        <w:tc>
          <w:tcPr>
            <w:tcW w:type="dxa" w:w="3900"/>
            <w:shd w:fill="F2F4F7" w:val="clear"/>
            <w:tcMar>
              <w:top w:type="dxa" w:w="100"/>
              <w:left w:type="dxa" w:w="120"/>
              <w:bottom w:type="dxa" w:w="100"/>
              <w:right w:type="dxa" w:w="120"/>
            </w:tcMar>
          </w:tcPr>
          <w:p>
            <w:r>
              <w:rPr>
                <w:b w:val="false"/>
                <w:bCs w:val="false"/>
                <w:color w:val="000000"/>
                <w:sz w:val="20"/>
                <w:szCs w:val="20"/>
              </w:rPr>
              <w:t xml:space="preserve">Every government use of AI worldwide</w:t>
            </w:r>
          </w:p>
        </w:tc>
      </w:tr>
      <w:tr>
        <w:tc>
          <w:tcPr>
            <w:tcW w:type="dxa" w:w="1400"/>
            <w:shd w:fill="FFFFFF" w:val="clear"/>
            <w:tcMar>
              <w:top w:type="dxa" w:w="100"/>
              <w:left w:type="dxa" w:w="120"/>
              <w:bottom w:type="dxa" w:w="100"/>
              <w:right w:type="dxa" w:w="120"/>
            </w:tcMar>
          </w:tcPr>
          <w:p>
            <w:r>
              <w:rPr>
                <w:b w:val="false"/>
                <w:bCs w:val="false"/>
                <w:color w:val="000000"/>
                <w:sz w:val="20"/>
                <w:szCs w:val="20"/>
              </w:rPr>
              <w:t xml:space="preserve">SAM</w:t>
            </w:r>
          </w:p>
        </w:tc>
        <w:tc>
          <w:tcPr>
            <w:tcW w:type="dxa" w:w="4200"/>
            <w:shd w:fill="FFFFFF" w:val="clear"/>
            <w:tcMar>
              <w:top w:type="dxa" w:w="100"/>
              <w:left w:type="dxa" w:w="120"/>
              <w:bottom w:type="dxa" w:w="100"/>
              <w:right w:type="dxa" w:w="120"/>
            </w:tcMar>
          </w:tcPr>
          <w:p>
            <w:r>
              <w:rPr>
                <w:b w:val="false"/>
                <w:bCs w:val="false"/>
                <w:color w:val="000000"/>
                <w:sz w:val="20"/>
                <w:szCs w:val="20"/>
              </w:rPr>
              <w:t xml:space="preserve">India AI-for-governance: $153M (2024) → $957M (2030), 35.7% CAGR — fastest-growing vertical in the segment</w:t>
            </w:r>
          </w:p>
        </w:tc>
        <w:tc>
          <w:tcPr>
            <w:tcW w:type="dxa" w:w="3900"/>
            <w:shd w:fill="FFFFFF" w:val="clear"/>
            <w:tcMar>
              <w:top w:type="dxa" w:w="100"/>
              <w:left w:type="dxa" w:w="120"/>
              <w:bottom w:type="dxa" w:w="100"/>
              <w:right w:type="dxa" w:w="120"/>
            </w:tcMar>
          </w:tcPr>
          <w:p>
            <w:r>
              <w:rPr>
                <w:b w:val="false"/>
                <w:bCs w:val="false"/>
                <w:color w:val="000000"/>
                <w:sz w:val="20"/>
                <w:szCs w:val="20"/>
              </w:rPr>
              <w:t xml:space="preserve">Civic-facing conversational AI in India specifically</w:t>
            </w:r>
          </w:p>
        </w:tc>
      </w:tr>
      <w:tr>
        <w:tc>
          <w:tcPr>
            <w:tcW w:type="dxa" w:w="1400"/>
            <w:shd w:fill="F2F4F7" w:val="clear"/>
            <w:tcMar>
              <w:top w:type="dxa" w:w="100"/>
              <w:left w:type="dxa" w:w="120"/>
              <w:bottom w:type="dxa" w:w="100"/>
              <w:right w:type="dxa" w:w="120"/>
            </w:tcMar>
          </w:tcPr>
          <w:p>
            <w:r>
              <w:rPr>
                <w:b w:val="false"/>
                <w:bCs w:val="false"/>
                <w:color w:val="000000"/>
                <w:sz w:val="20"/>
                <w:szCs w:val="20"/>
              </w:rPr>
              <w:t xml:space="preserve">SOM</w:t>
            </w:r>
          </w:p>
        </w:tc>
        <w:tc>
          <w:tcPr>
            <w:tcW w:type="dxa" w:w="4200"/>
            <w:shd w:fill="F2F4F7" w:val="clear"/>
            <w:tcMar>
              <w:top w:type="dxa" w:w="100"/>
              <w:left w:type="dxa" w:w="120"/>
              <w:bottom w:type="dxa" w:w="100"/>
              <w:right w:type="dxa" w:w="120"/>
            </w:tcMar>
          </w:tcPr>
          <w:p>
            <w:r>
              <w:rPr>
                <w:b w:val="false"/>
                <w:bCs w:val="false"/>
                <w:color w:val="000000"/>
                <w:sz w:val="20"/>
                <w:szCs w:val="20"/>
              </w:rPr>
              <w:t xml:space="preserve">A realistic 3–5 year slice: state-level deployment or 1–2 CSC network partnerships</w:t>
            </w:r>
          </w:p>
        </w:tc>
        <w:tc>
          <w:tcPr>
            <w:tcW w:type="dxa" w:w="3900"/>
            <w:shd w:fill="F2F4F7" w:val="clear"/>
            <w:tcMar>
              <w:top w:type="dxa" w:w="100"/>
              <w:left w:type="dxa" w:w="120"/>
              <w:bottom w:type="dxa" w:w="100"/>
              <w:right w:type="dxa" w:w="120"/>
            </w:tcMar>
          </w:tcPr>
          <w:p>
            <w:r>
              <w:rPr>
                <w:b w:val="false"/>
                <w:bCs w:val="false"/>
                <w:color w:val="000000"/>
                <w:sz w:val="20"/>
                <w:szCs w:val="20"/>
              </w:rPr>
              <w:t xml:space="preserve">What a young startup could plausibly capture early</w:t>
            </w:r>
          </w:p>
        </w:tc>
      </w:tr>
    </w:tbl>
    <w:p>
      <w:pPr>
        <w:spacing w:after="160" w:line="300"/>
      </w:pPr>
      <w:r>
        <w:rPr>
          <w:sz w:val="22"/>
          <w:szCs w:val="22"/>
        </w:rPr>
        <w:t xml:space="preserve">India's broader conversational AI market is $653M in 2025, projected to reach $5.9B by 2034 (25.6% CAGR). Government agencies are expected to account for 65% of AI-in-government spend in 2026, and India is one of the two fastest-growing country markets globally (22.3% CAGR).</w:t>
      </w:r>
    </w:p>
    <w:p>
      <w:pPr>
        <w:pStyle w:val="Heading2"/>
        <w:spacing w:after="120" w:before="240"/>
      </w:pPr>
      <w:r>
        <w:t xml:space="preserve">Comparable companies — funding benchmarks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3000"/>
        <w:gridCol w:w="3100"/>
      </w:tblGrid>
      <w:tr>
        <w:trPr>
          <w:tblHeader/>
        </w:trPr>
        <w:tc>
          <w:tcPr>
            <w:tcW w:type="dxa" w:w="1900"/>
            <w:shd w:fill="1B2A4A" w:val="clear"/>
            <w:tcMar>
              <w:top w:type="dxa" w:w="100"/>
              <w:left w:type="dxa" w:w="120"/>
              <w:bottom w:type="dxa" w:w="100"/>
              <w:right w:type="dxa" w:w="120"/>
            </w:tcMar>
          </w:tcPr>
          <w:p>
            <w:r>
              <w:rPr>
                <w:b/>
                <w:bCs/>
                <w:color w:val="FFFFFF"/>
                <w:sz w:val="20"/>
                <w:szCs w:val="20"/>
              </w:rPr>
              <w:t xml:space="preserve">Company</w:t>
            </w:r>
          </w:p>
        </w:tc>
        <w:tc>
          <w:tcPr>
            <w:tcW w:type="dxa" w:w="1500"/>
            <w:shd w:fill="1B2A4A" w:val="clear"/>
            <w:tcMar>
              <w:top w:type="dxa" w:w="100"/>
              <w:left w:type="dxa" w:w="120"/>
              <w:bottom w:type="dxa" w:w="100"/>
              <w:right w:type="dxa" w:w="120"/>
            </w:tcMar>
          </w:tcPr>
          <w:p>
            <w:r>
              <w:rPr>
                <w:b/>
                <w:bCs/>
                <w:color w:val="FFFFFF"/>
                <w:sz w:val="20"/>
                <w:szCs w:val="20"/>
              </w:rPr>
              <w:t xml:space="preserve">Stage</w:t>
            </w:r>
          </w:p>
        </w:tc>
        <w:tc>
          <w:tcPr>
            <w:tcW w:type="dxa" w:w="3000"/>
            <w:shd w:fill="1B2A4A" w:val="clear"/>
            <w:tcMar>
              <w:top w:type="dxa" w:w="100"/>
              <w:left w:type="dxa" w:w="120"/>
              <w:bottom w:type="dxa" w:w="100"/>
              <w:right w:type="dxa" w:w="120"/>
            </w:tcMar>
          </w:tcPr>
          <w:p>
            <w:r>
              <w:rPr>
                <w:b/>
                <w:bCs/>
                <w:color w:val="FFFFFF"/>
                <w:sz w:val="20"/>
                <w:szCs w:val="20"/>
              </w:rPr>
              <w:t xml:space="preserve">Funding / valuation</w:t>
            </w:r>
          </w:p>
        </w:tc>
        <w:tc>
          <w:tcPr>
            <w:tcW w:type="dxa" w:w="3100"/>
            <w:shd w:fill="1B2A4A" w:val="clear"/>
            <w:tcMar>
              <w:top w:type="dxa" w:w="100"/>
              <w:left w:type="dxa" w:w="120"/>
              <w:bottom w:type="dxa" w:w="100"/>
              <w:right w:type="dxa" w:w="120"/>
            </w:tcMar>
          </w:tcPr>
          <w:p>
            <w:r>
              <w:rPr>
                <w:b/>
                <w:bCs/>
                <w:color w:val="FFFFFF"/>
                <w:sz w:val="20"/>
                <w:szCs w:val="20"/>
              </w:rPr>
              <w:t xml:space="preserve">Relevance</w:t>
            </w:r>
          </w:p>
        </w:tc>
      </w:tr>
      <w:tr>
        <w:tc>
          <w:tcPr>
            <w:tcW w:type="dxa" w:w="1900"/>
            <w:shd w:fill="F2F4F7" w:val="clear"/>
            <w:tcMar>
              <w:top w:type="dxa" w:w="100"/>
              <w:left w:type="dxa" w:w="120"/>
              <w:bottom w:type="dxa" w:w="100"/>
              <w:right w:type="dxa" w:w="120"/>
            </w:tcMar>
          </w:tcPr>
          <w:p>
            <w:r>
              <w:rPr>
                <w:b w:val="false"/>
                <w:bCs w:val="false"/>
                <w:color w:val="000000"/>
                <w:sz w:val="20"/>
                <w:szCs w:val="20"/>
              </w:rPr>
              <w:t xml:space="preserve">CoRover.ai (2016)</w:t>
            </w:r>
          </w:p>
        </w:tc>
        <w:tc>
          <w:tcPr>
            <w:tcW w:type="dxa" w:w="1500"/>
            <w:shd w:fill="F2F4F7" w:val="clear"/>
            <w:tcMar>
              <w:top w:type="dxa" w:w="100"/>
              <w:left w:type="dxa" w:w="120"/>
              <w:bottom w:type="dxa" w:w="100"/>
              <w:right w:type="dxa" w:w="120"/>
            </w:tcMar>
          </w:tcPr>
          <w:p>
            <w:r>
              <w:rPr>
                <w:b w:val="false"/>
                <w:bCs w:val="false"/>
                <w:color w:val="000000"/>
                <w:sz w:val="20"/>
                <w:szCs w:val="20"/>
              </w:rPr>
              <w:t xml:space="preserve">Series A</w:t>
            </w:r>
          </w:p>
        </w:tc>
        <w:tc>
          <w:tcPr>
            <w:tcW w:type="dxa" w:w="3000"/>
            <w:shd w:fill="F2F4F7" w:val="clear"/>
            <w:tcMar>
              <w:top w:type="dxa" w:w="100"/>
              <w:left w:type="dxa" w:w="120"/>
              <w:bottom w:type="dxa" w:w="100"/>
              <w:right w:type="dxa" w:w="120"/>
            </w:tcMar>
          </w:tcPr>
          <w:p>
            <w:r>
              <w:rPr>
                <w:b w:val="false"/>
                <w:bCs w:val="false"/>
                <w:color w:val="000000"/>
                <w:sz w:val="20"/>
                <w:szCs w:val="20"/>
              </w:rPr>
              <w:t xml:space="preserve">$5.72M raised across 8 rounds; $8.5M valuation (Dec 2022)</w:t>
            </w:r>
          </w:p>
        </w:tc>
        <w:tc>
          <w:tcPr>
            <w:tcW w:type="dxa" w:w="3100"/>
            <w:shd w:fill="F2F4F7" w:val="clear"/>
            <w:tcMar>
              <w:top w:type="dxa" w:w="100"/>
              <w:left w:type="dxa" w:w="120"/>
              <w:bottom w:type="dxa" w:w="100"/>
              <w:right w:type="dxa" w:w="120"/>
            </w:tcMar>
          </w:tcPr>
          <w:p>
            <w:r>
              <w:rPr>
                <w:b w:val="false"/>
                <w:bCs w:val="false"/>
                <w:color w:val="000000"/>
                <w:sz w:val="20"/>
                <w:szCs w:val="20"/>
              </w:rPr>
              <w:t xml:space="preserve">Closest direct comparable — enterprise + government-facing voice/chat AI at early stage</w:t>
            </w:r>
          </w:p>
        </w:tc>
      </w:tr>
      <w:tr>
        <w:tc>
          <w:tcPr>
            <w:tcW w:type="dxa" w:w="1900"/>
            <w:shd w:fill="FFFFFF" w:val="clear"/>
            <w:tcMar>
              <w:top w:type="dxa" w:w="100"/>
              <w:left w:type="dxa" w:w="120"/>
              <w:bottom w:type="dxa" w:w="100"/>
              <w:right w:type="dxa" w:w="120"/>
            </w:tcMar>
          </w:tcPr>
          <w:p>
            <w:r>
              <w:rPr>
                <w:b w:val="false"/>
                <w:bCs w:val="false"/>
                <w:color w:val="000000"/>
                <w:sz w:val="20"/>
                <w:szCs w:val="20"/>
              </w:rPr>
              <w:t xml:space="preserve">Gnani.ai (2016)</w:t>
            </w:r>
          </w:p>
        </w:tc>
        <w:tc>
          <w:tcPr>
            <w:tcW w:type="dxa" w:w="1500"/>
            <w:shd w:fill="FFFFFF" w:val="clear"/>
            <w:tcMar>
              <w:top w:type="dxa" w:w="100"/>
              <w:left w:type="dxa" w:w="120"/>
              <w:bottom w:type="dxa" w:w="100"/>
              <w:right w:type="dxa" w:w="120"/>
            </w:tcMar>
          </w:tcPr>
          <w:p>
            <w:r>
              <w:rPr>
                <w:b w:val="false"/>
                <w:bCs w:val="false"/>
                <w:color w:val="000000"/>
                <w:sz w:val="20"/>
                <w:szCs w:val="20"/>
              </w:rPr>
              <w:t xml:space="preserve">Series A-II</w:t>
            </w:r>
          </w:p>
        </w:tc>
        <w:tc>
          <w:tcPr>
            <w:tcW w:type="dxa" w:w="3000"/>
            <w:shd w:fill="FFFFFF" w:val="clear"/>
            <w:tcMar>
              <w:top w:type="dxa" w:w="100"/>
              <w:left w:type="dxa" w:w="120"/>
              <w:bottom w:type="dxa" w:w="100"/>
              <w:right w:type="dxa" w:w="120"/>
            </w:tcMar>
          </w:tcPr>
          <w:p>
            <w:r>
              <w:rPr>
                <w:b w:val="false"/>
                <w:bCs w:val="false"/>
                <w:color w:val="000000"/>
                <w:sz w:val="20"/>
                <w:szCs w:val="20"/>
              </w:rPr>
              <w:t xml:space="preserve">$3.58M total raised</w:t>
            </w:r>
          </w:p>
        </w:tc>
        <w:tc>
          <w:tcPr>
            <w:tcW w:type="dxa" w:w="3100"/>
            <w:shd w:fill="FFFFFF" w:val="clear"/>
            <w:tcMar>
              <w:top w:type="dxa" w:w="100"/>
              <w:left w:type="dxa" w:w="120"/>
              <w:bottom w:type="dxa" w:w="100"/>
              <w:right w:type="dxa" w:w="120"/>
            </w:tcMar>
          </w:tcPr>
          <w:p>
            <w:r>
              <w:rPr>
                <w:b w:val="false"/>
                <w:bCs w:val="false"/>
                <w:color w:val="000000"/>
                <w:sz w:val="20"/>
                <w:szCs w:val="20"/>
              </w:rPr>
              <w:t xml:space="preserve">Voice-AI-specific comparable at similar stage</w:t>
            </w:r>
          </w:p>
        </w:tc>
      </w:tr>
      <w:tr>
        <w:tc>
          <w:tcPr>
            <w:tcW w:type="dxa" w:w="1900"/>
            <w:shd w:fill="F2F4F7" w:val="clear"/>
            <w:tcMar>
              <w:top w:type="dxa" w:w="100"/>
              <w:left w:type="dxa" w:w="120"/>
              <w:bottom w:type="dxa" w:w="100"/>
              <w:right w:type="dxa" w:w="120"/>
            </w:tcMar>
          </w:tcPr>
          <w:p>
            <w:r>
              <w:rPr>
                <w:b w:val="false"/>
                <w:bCs w:val="false"/>
                <w:color w:val="000000"/>
                <w:sz w:val="20"/>
                <w:szCs w:val="20"/>
              </w:rPr>
              <w:t xml:space="preserve">Sarvam AI (2023)</w:t>
            </w:r>
          </w:p>
        </w:tc>
        <w:tc>
          <w:tcPr>
            <w:tcW w:type="dxa" w:w="1500"/>
            <w:shd w:fill="F2F4F7" w:val="clear"/>
            <w:tcMar>
              <w:top w:type="dxa" w:w="100"/>
              <w:left w:type="dxa" w:w="120"/>
              <w:bottom w:type="dxa" w:w="100"/>
              <w:right w:type="dxa" w:w="120"/>
            </w:tcMar>
          </w:tcPr>
          <w:p>
            <w:r>
              <w:rPr>
                <w:b w:val="false"/>
                <w:bCs w:val="false"/>
                <w:color w:val="000000"/>
                <w:sz w:val="20"/>
                <w:szCs w:val="20"/>
              </w:rPr>
              <w:t xml:space="preserve">Series B</w:t>
            </w:r>
          </w:p>
        </w:tc>
        <w:tc>
          <w:tcPr>
            <w:tcW w:type="dxa" w:w="3000"/>
            <w:shd w:fill="F2F4F7" w:val="clear"/>
            <w:tcMar>
              <w:top w:type="dxa" w:w="100"/>
              <w:left w:type="dxa" w:w="120"/>
              <w:bottom w:type="dxa" w:w="100"/>
              <w:right w:type="dxa" w:w="120"/>
            </w:tcMar>
          </w:tcPr>
          <w:p>
            <w:r>
              <w:rPr>
                <w:b w:val="false"/>
                <w:bCs w:val="false"/>
                <w:color w:val="000000"/>
                <w:sz w:val="20"/>
                <w:szCs w:val="20"/>
              </w:rPr>
              <w:t xml:space="preserve">$350M raised; $1.5B valuation (June 2026, unicorn)</w:t>
            </w:r>
          </w:p>
        </w:tc>
        <w:tc>
          <w:tcPr>
            <w:tcW w:type="dxa" w:w="3100"/>
            <w:shd w:fill="F2F4F7" w:val="clear"/>
            <w:tcMar>
              <w:top w:type="dxa" w:w="100"/>
              <w:left w:type="dxa" w:w="120"/>
              <w:bottom w:type="dxa" w:w="100"/>
              <w:right w:type="dxa" w:w="120"/>
            </w:tcMar>
          </w:tcPr>
          <w:p>
            <w:r>
              <w:rPr>
                <w:b w:val="false"/>
                <w:bCs w:val="false"/>
                <w:color w:val="000000"/>
                <w:sz w:val="20"/>
                <w:szCs w:val="20"/>
              </w:rPr>
              <w:t xml:space="preserve">Not a direct comparable (infra-layer), but proves investor appetite for “Indian-language + voice” as a thesis</w:t>
            </w:r>
          </w:p>
        </w:tc>
      </w:tr>
      <w:tr>
        <w:tc>
          <w:tcPr>
            <w:tcW w:type="dxa" w:w="1900"/>
            <w:shd w:fill="FFFFFF" w:val="clear"/>
            <w:tcMar>
              <w:top w:type="dxa" w:w="100"/>
              <w:left w:type="dxa" w:w="120"/>
              <w:bottom w:type="dxa" w:w="100"/>
              <w:right w:type="dxa" w:w="120"/>
            </w:tcMar>
          </w:tcPr>
          <w:p>
            <w:r>
              <w:rPr>
                <w:b w:val="false"/>
                <w:bCs w:val="false"/>
                <w:color w:val="000000"/>
                <w:sz w:val="20"/>
                <w:szCs w:val="20"/>
              </w:rPr>
              <w:t xml:space="preserve">Jugalbandi (OpenNyAI)</w:t>
            </w:r>
          </w:p>
        </w:tc>
        <w:tc>
          <w:tcPr>
            <w:tcW w:type="dxa" w:w="1500"/>
            <w:shd w:fill="FFFFFF" w:val="clear"/>
            <w:tcMar>
              <w:top w:type="dxa" w:w="100"/>
              <w:left w:type="dxa" w:w="120"/>
              <w:bottom w:type="dxa" w:w="100"/>
              <w:right w:type="dxa" w:w="120"/>
            </w:tcMar>
          </w:tcPr>
          <w:p>
            <w:r>
              <w:rPr>
                <w:b w:val="false"/>
                <w:bCs w:val="false"/>
                <w:color w:val="000000"/>
                <w:sz w:val="20"/>
                <w:szCs w:val="20"/>
              </w:rPr>
              <w:t xml:space="preserve">Philanthropic, non-VC</w:t>
            </w:r>
          </w:p>
        </w:tc>
        <w:tc>
          <w:tcPr>
            <w:tcW w:type="dxa" w:w="3000"/>
            <w:shd w:fill="FFFFFF" w:val="clear"/>
            <w:tcMar>
              <w:top w:type="dxa" w:w="100"/>
              <w:left w:type="dxa" w:w="120"/>
              <w:bottom w:type="dxa" w:w="100"/>
              <w:right w:type="dxa" w:w="120"/>
            </w:tcMar>
          </w:tcPr>
          <w:p>
            <w:r>
              <w:rPr>
                <w:b w:val="false"/>
                <w:bCs w:val="false"/>
                <w:color w:val="000000"/>
                <w:sz w:val="20"/>
                <w:szCs w:val="20"/>
              </w:rPr>
              <w:t xml:space="preserve">Funded by EkStep and Agami</w:t>
            </w:r>
          </w:p>
        </w:tc>
        <w:tc>
          <w:tcPr>
            <w:tcW w:type="dxa" w:w="3100"/>
            <w:shd w:fill="FFFFFF" w:val="clear"/>
            <w:tcMar>
              <w:top w:type="dxa" w:w="100"/>
              <w:left w:type="dxa" w:w="120"/>
              <w:bottom w:type="dxa" w:w="100"/>
              <w:right w:type="dxa" w:w="120"/>
            </w:tcMar>
          </w:tcPr>
          <w:p>
            <w:r>
              <w:rPr>
                <w:b w:val="false"/>
                <w:bCs w:val="false"/>
                <w:color w:val="000000"/>
                <w:sz w:val="20"/>
                <w:szCs w:val="20"/>
              </w:rPr>
              <w:t xml:space="preserve">Proves the exact use case works at scale (171 schemes, 10 languages via WhatsApp), but shows this space has been grant-funded, not venture-funded — the opening for a venture-backed version</w:t>
            </w:r>
          </w:p>
        </w:tc>
      </w:tr>
    </w:tbl>
    <w:p>
      <w:pPr>
        <w:pStyle w:val="Heading2"/>
        <w:spacing w:after="120" w:before="240"/>
      </w:pPr>
      <w:r>
        <w:t xml:space="preserve">Funding path</w:t>
      </w:r>
    </w:p>
    <w:p>
      <w:pPr>
        <w:pStyle w:val="ListParagraph"/>
        <w:numPr>
          <w:ilvl w:val="0"/>
          <w:numId w:val="2"/>
        </w:numPr>
        <w:spacing w:after="80" w:line="280"/>
      </w:pPr>
      <w:r>
        <w:rPr>
          <w:sz w:val="22"/>
          <w:szCs w:val="22"/>
        </w:rPr>
        <w:t xml:space="preserve">Non-dilutive: MeitY's IndiaAI Mission grants and Bhashini partnerships actively fund multilingual civic-AI work (this is how Sarvam accessed its compute)</w:t>
      </w:r>
    </w:p>
    <w:p>
      <w:pPr>
        <w:pStyle w:val="ListParagraph"/>
        <w:numPr>
          <w:ilvl w:val="0"/>
          <w:numId w:val="2"/>
        </w:numPr>
        <w:spacing w:after="80" w:line="280"/>
      </w:pPr>
      <w:r>
        <w:rPr>
          <w:sz w:val="22"/>
          <w:szCs w:val="22"/>
        </w:rPr>
        <w:t xml:space="preserve">Civic-tech / philanthropic capital: comparable to Jugalbandi's EkStep/Agami backing, or India's Rebuild India Fund, Omidyar Network India</w:t>
      </w:r>
    </w:p>
    <w:p>
      <w:pPr>
        <w:pStyle w:val="ListParagraph"/>
        <w:numPr>
          <w:ilvl w:val="0"/>
          <w:numId w:val="2"/>
        </w:numPr>
        <w:spacing w:after="80" w:line="280"/>
      </w:pPr>
      <w:r>
        <w:rPr>
          <w:sz w:val="22"/>
          <w:szCs w:val="22"/>
        </w:rPr>
        <w:t xml:space="preserve">Govtech venture capital: Venture Catalysts, CanBank Venture Capital Fund — both existing CoRover investors</w:t>
      </w:r>
    </w:p>
    <w:p>
      <w:pPr>
        <w:spacing w:after="160" w:line="300"/>
      </w:pPr>
      <w:r>
        <w:rPr>
          <w:b/>
          <w:bCs/>
          <w:sz w:val="22"/>
          <w:szCs w:val="22"/>
        </w:rPr>
        <w:t xml:space="preserve">Realistic pre-seed framing: </w:t>
      </w:r>
      <w:r>
        <w:rPr>
          <w:sz w:val="22"/>
          <w:szCs w:val="22"/>
        </w:rPr>
        <w:t xml:space="preserve">Anchor on CoRover's early trajectory (roughly $500K–$1M pre-seed/seed range, single-digit-million valuation) rather than citing Series B numbers, which would read as naive at this stage.</w:t>
      </w:r>
    </w:p>
    <w:p>
      <w:pPr>
        <w:pStyle w:val="Heading1"/>
        <w:spacing w:after="160" w:before="320"/>
      </w:pPr>
      <w:r>
        <w:t xml:space="preserve">10. UI concept — core interaction flow</w:t>
      </w:r>
    </w:p>
    <w:p>
      <w:pPr>
        <w:spacing w:after="160" w:line="300"/>
      </w:pPr>
      <w:r>
        <w:rPr>
          <w:sz w:val="22"/>
          <w:szCs w:val="22"/>
        </w:rPr>
        <w:t xml:space="preserve">Three core mobile screens define the interaction loop:</w:t>
      </w:r>
    </w:p>
    <w:p>
      <w:pPr>
        <w:pStyle w:val="ListParagraph"/>
        <w:numPr>
          <w:ilvl w:val="0"/>
          <w:numId w:val="2"/>
        </w:numPr>
        <w:spacing w:after="80" w:line="280"/>
      </w:pPr>
      <w:r>
        <w:rPr>
          <w:sz w:val="22"/>
          <w:szCs w:val="22"/>
        </w:rPr>
        <w:t xml:space="preserve">Home / listening screen — large mic button, live transcript of what the citizen is saying, in any language</w:t>
      </w:r>
    </w:p>
    <w:p>
      <w:pPr>
        <w:pStyle w:val="ListParagraph"/>
        <w:numPr>
          <w:ilvl w:val="0"/>
          <w:numId w:val="2"/>
        </w:numPr>
        <w:spacing w:after="80" w:line="280"/>
      </w:pPr>
      <w:r>
        <w:rPr>
          <w:sz w:val="22"/>
          <w:szCs w:val="22"/>
        </w:rPr>
        <w:t xml:space="preserve">Clarifying question screen — shown only when ambiguity is flagged; presents one sharp follow-up question with simple tap-to-answer options</w:t>
      </w:r>
    </w:p>
    <w:p>
      <w:pPr>
        <w:pStyle w:val="ListParagraph"/>
        <w:numPr>
          <w:ilvl w:val="0"/>
          <w:numId w:val="2"/>
        </w:numPr>
        <w:spacing w:after="80" w:line="280"/>
      </w:pPr>
      <w:r>
        <w:rPr>
          <w:sz w:val="22"/>
          <w:szCs w:val="22"/>
        </w:rPr>
        <w:t xml:space="preserve">Result screen — shows the matched scheme, an eligibility confidence bar, and exactly what proof or information is still needed</w:t>
      </w:r>
    </w:p>
    <w:p>
      <w:pPr>
        <w:pStyle w:val="Heading2"/>
        <w:spacing w:after="120" w:before="240"/>
      </w:pPr>
      <w:r>
        <w:t xml:space="preserve">UI inspiration references</w:t>
      </w:r>
    </w:p>
    <w:p>
      <w:pPr>
        <w:pStyle w:val="ListParagraph"/>
        <w:numPr>
          <w:ilvl w:val="0"/>
          <w:numId w:val="2"/>
        </w:numPr>
        <w:spacing w:after="80" w:line="280"/>
      </w:pPr>
      <w:r>
        <w:rPr>
          <w:sz w:val="22"/>
          <w:szCs w:val="22"/>
        </w:rPr>
        <w:t xml:space="preserve">Mobbin (mobbin.com) — real production app screens, filterable by voice / onboarding / chat patterns</w:t>
      </w:r>
    </w:p>
    <w:p>
      <w:pPr>
        <w:pStyle w:val="ListParagraph"/>
        <w:numPr>
          <w:ilvl w:val="0"/>
          <w:numId w:val="2"/>
        </w:numPr>
        <w:spacing w:after="80" w:line="280"/>
      </w:pPr>
      <w:r>
        <w:rPr>
          <w:sz w:val="22"/>
          <w:szCs w:val="22"/>
        </w:rPr>
        <w:t xml:space="preserve">Bhashini (bhashini.gov.in) and the UMANG app — study directly as the actual government digital-public-infrastructure products this would sit alongside</w:t>
      </w:r>
    </w:p>
    <w:p>
      <w:pPr>
        <w:pStyle w:val="ListParagraph"/>
        <w:numPr>
          <w:ilvl w:val="0"/>
          <w:numId w:val="2"/>
        </w:numPr>
        <w:spacing w:after="80" w:line="280"/>
      </w:pPr>
      <w:r>
        <w:rPr>
          <w:sz w:val="22"/>
          <w:szCs w:val="22"/>
        </w:rPr>
        <w:t xml:space="preserve">Dribbble / Behance — search “voice assistant UI” or “voice onboarding” for listening-state and waveform ideas</w:t>
      </w:r>
    </w:p>
    <w:p>
      <w:pPr>
        <w:pStyle w:val="ListParagraph"/>
        <w:numPr>
          <w:ilvl w:val="0"/>
          <w:numId w:val="2"/>
        </w:numPr>
        <w:spacing w:after="80" w:line="280"/>
      </w:pPr>
      <w:r>
        <w:rPr>
          <w:sz w:val="22"/>
          <w:szCs w:val="22"/>
        </w:rPr>
        <w:t xml:space="preserve">Google Assistant's voice UI — reference for visualizing listening → processing → responding states simply</w:t>
      </w:r>
    </w:p>
    <w:p>
      <w:pPr>
        <w:pStyle w:val="Heading1"/>
        <w:spacing w:after="160" w:before="320"/>
      </w:pPr>
      <w:r>
        <w:t xml:space="preserve">11. What we're asking for</w:t>
      </w:r>
    </w:p>
    <w:p>
      <w:pPr>
        <w:pStyle w:val="ListParagraph"/>
        <w:numPr>
          <w:ilvl w:val="0"/>
          <w:numId w:val="2"/>
        </w:numPr>
        <w:spacing w:after="80" w:line="280"/>
      </w:pPr>
      <w:r>
        <w:rPr>
          <w:sz w:val="22"/>
          <w:szCs w:val="22"/>
        </w:rPr>
        <w:t xml:space="preserve">Advance to Stage 2 to build the working voice-and-reasoning MVP</w:t>
      </w:r>
    </w:p>
    <w:p>
      <w:pPr>
        <w:pStyle w:val="ListParagraph"/>
        <w:numPr>
          <w:ilvl w:val="0"/>
          <w:numId w:val="2"/>
        </w:numPr>
        <w:spacing w:after="80" w:line="280"/>
      </w:pPr>
      <w:r>
        <w:rPr>
          <w:sz w:val="22"/>
          <w:szCs w:val="22"/>
        </w:rPr>
        <w:t xml:space="preserve">Judge feedback on scope for the Round 1 demo — which schemes, which languages</w:t>
      </w:r>
    </w:p>
    <w:p>
      <w:pPr>
        <w:pStyle w:val="ListParagraph"/>
        <w:numPr>
          <w:ilvl w:val="0"/>
          <w:numId w:val="2"/>
        </w:numPr>
        <w:spacing w:after="80" w:line="280"/>
      </w:pPr>
      <w:r>
        <w:rPr>
          <w:sz w:val="22"/>
          <w:szCs w:val="22"/>
        </w:rPr>
        <w:t xml:space="preserve">Mentor guidance on the eligibility rule engine design, if available</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C7293" w:sz="6" w:space="4"/>
      </w:pBdr>
      <w:spacing w:after="160" w:before="320"/>
    </w:pPr>
    <w:rPr>
      <w:rFonts w:ascii="Cambria" w:cs="Cambria" w:eastAsia="Cambria" w:hAnsi="Cambria"/>
      <w:b/>
      <w:bCs/>
      <w:color w:val="1B2A4A"/>
      <w:sz w:val="32"/>
      <w:szCs w:val="32"/>
    </w:rPr>
  </w:style>
  <w:style w:type="paragraph" w:styleId="Heading2">
    <w:name w:val="Heading 2"/>
    <w:basedOn w:val="Normal"/>
    <w:next w:val="Normal"/>
    <w:qFormat/>
    <w:pPr>
      <w:spacing w:after="120" w:before="240"/>
    </w:pPr>
    <w:rPr>
      <w:rFonts w:ascii="Cambria" w:cs="Cambria" w:eastAsia="Cambria" w:hAnsi="Cambria"/>
      <w:b/>
      <w:bCs/>
      <w:color w:val="1C729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2026-09-07T06:45:09.053Z</dcterms:created>
  <dcterms:modified xsi:type="dcterms:W3CDTF">2026-09-07T06:45:09.065Z</dcterms:modified>
</cp:coreProperties>
</file>

<file path=docProps/custom.xml><?xml version="1.0" encoding="utf-8"?>
<Properties xmlns="http://schemas.openxmlformats.org/officeDocument/2006/custom-properties" xmlns:vt="http://schemas.openxmlformats.org/officeDocument/2006/docPropsVTypes"/>
</file>