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SGA-MS: A Solar-Aware Genetic-Algorithm Multi-Sink Data-Aggregation Protocol for Prolonging Lifetime in Energy-Harvesting IoT Sensor Networks</w:t>
      </w:r>
    </w:p>
    <w:p>
      <w:pPr>
        <w:jc w:val="center"/>
      </w:pPr>
      <w:r>
        <w:rPr>
          <w:b/>
        </w:rPr>
        <w:t xml:space="preserve">Soumyadip [Last Name]</w:t>
      </w:r>
      <w:r>
        <w:t xml:space="preserve"> </w:t>
      </w:r>
      <w:r>
        <w:rPr>
          <w:i/>
        </w:rPr>
        <w:t xml:space="preserve">(corresponding author)</w:t>
      </w:r>
      <w:r>
        <w:t xml:space="preserve">, </w:t>
      </w:r>
      <w:r>
        <w:rPr>
          <w:b/>
        </w:rPr>
        <w:t xml:space="preserve">[Co-author Name]</w:t>
      </w:r>
      <w:r>
        <w:t xml:space="preserve">, </w:t>
      </w:r>
      <w:r>
        <w:rPr>
          <w:b/>
        </w:rPr>
        <w:t xml:space="preserve">[Supervisor Name]</w:t>
      </w:r>
    </w:p>
    <w:p>
      <w:pPr>
        <w:jc w:val="center"/>
      </w:pPr>
      <w:r>
        <w:t xml:space="preserve">Department of Computer Science and Engineering, </w:t>
      </w:r>
      <w:r>
        <w:rPr>
          <w:i/>
        </w:rPr>
        <w:t xml:space="preserve">[Institution Name]</w:t>
      </w:r>
      <w:r>
        <w:t xml:space="preserve">, </w:t>
      </w:r>
      <w:r>
        <w:rPr>
          <w:i/>
        </w:rPr>
        <w:t xml:space="preserve">[City, Country]</w:t>
      </w:r>
    </w:p>
    <w:p>
      <w:pPr>
        <w:jc w:val="center"/>
      </w:pPr>
      <w:r>
        <w:t xml:space="preserve">Corresponding author: </w:t>
      </w:r>
      <w:r>
        <w:rPr>
          <w:i/>
        </w:rPr>
        <w:t xml:space="preserve">[you@example.com]</w:t>
      </w:r>
      <w:r>
        <w:t xml:space="preserve">   |   ORCID: </w:t>
      </w:r>
      <w:r>
        <w:rPr>
          <w:i/>
        </w:rPr>
        <w:t xml:space="preserve">[0000-0000-0000-0000]</w:t>
      </w:r>
    </w:p>
    <w:p>
      <w:pPr>
        <w:pStyle w:val="Heading1"/>
      </w:pPr>
      <w:r>
        <w:t xml:space="preserve">Abstract</w:t>
      </w:r>
    </w:p>
    <w:p>
      <w:r>
        <w:t xml:space="preserve">Battery lifetime is the dominant constraint on the wireless sensor networks (WSNs) that support large-scale IoT deployments, because radio energy grows with the square, and beyond a crossover distance the fourth power, of transmission range. This paper presents SGA-MS, a solar-aware, genetic-algorithm-driven, multi-sink data-aggregation protocol for sensor networks whose nodes carry photovoltaic harvesters. A genetic algorithm re-elects cluster heads every round using a fitness that jointly rewards residual energy, present harvesting opportunity, coverage, and spatial spread; heads that cannot reach the base station cheaply relay through a dynamically sized tier of multi-sink cluster heads placed by k-medoids and chosen by a solar-aware score. Crucially, harvesting is modelled per node via a fixed panel-efficiency factor, so the solar signal genuinely discriminates between candidates rather than adding a decision-neutral constant. In representative simulations against a LEACH baseline under identical conditions, SGA-MS delayed the first node death by about 54% (round 87 to 134), delivered roughly 38% more packets to the base station, cut the spread of per-node energy by about half (0.087 to 0.041 J), and retained far more residual energy. The takeaway: pairing evolutionary, harvesting-aware cluster-head selection with an adaptive multi-sink relay tier can substantially extend the operational life of energy-harvesting sensor networks without any change to the hardware.</w:t>
      </w:r>
    </w:p>
    <w:p>
      <w:pPr>
        <w:pStyle w:val="Heading1"/>
      </w:pPr>
      <w:r>
        <w:t xml:space="preserve">Keywords</w:t>
      </w:r>
    </w:p>
    <w:p>
      <w:r>
        <w:t xml:space="preserve">Wireless Sensor Networks; Internet of Things; Energy Harvesting; Genetic Algorithm; Cluster-Head Selection; Multi-Sink Routing; Data Aggregation; Network Lifetime</w:t>
      </w:r>
    </w:p>
    <w:p>
      <w:r>
        <w:rPr>
          <w:i/>
        </w:rPr>
        <w:t xml:space="preserve">Notes for the authors.</w:t>
      </w:r>
      <w:r>
        <w:t xml:space="preserve"> Replace every bracketed field above with the real details (name, co-authors, institution, email, and optional ORCID). The results quoted in the abstract come from a single representative simulation run under the default configuration; before submitting to a venue, re-run the experiments over multiple random seeds and report averages with confidence intervals so that these figures are statistically supported.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Title">
    <w:name w:val="Title"/>
    <w:basedOn w:val="Normal"/>
    <w:pPr>
      <w:jc w:val="center"/>
      <w:spacing w:before="120" w:after="240"/>
    </w:pPr>
    <w:rPr>
      <w:rFonts w:ascii="Cambria" w:hAnsi="Cambria"/>
      <w:b/>
      <w:sz w:val="40"/>
      <w:color w:val="1A2B45"/>
    </w:rPr>
  </w:style>
  <w:style w:type="paragraph" w:styleId="Heading1">
    <w:name w:val="heading 1"/>
    <w:basedOn w:val="Normal"/>
    <w:next w:val="Normal"/>
    <w:pPr>
      <w:keepNext/>
      <w:spacing w:before="280" w:after="120"/>
      <w:outlineLvl w:val="0"/>
      <w:jc w:val="left"/>
    </w:pPr>
    <w:rPr>
      <w:rFonts w:ascii="Cambria" w:hAnsi="Cambria"/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20" w:after="100"/>
      <w:outlineLvl w:val="1"/>
      <w:jc w:val="left"/>
    </w:pPr>
    <w:rPr>
      <w:rFonts w:ascii="Cambria" w:hAnsi="Cambria"/>
      <w:b/>
      <w:sz w:val="25"/>
      <w:color w:val="2E5496"/>
    </w:rPr>
  </w:style>
  <w:style w:type="paragraph" w:styleId="Heading3">
    <w:name w:val="heading 3"/>
    <w:basedOn w:val="Normal"/>
    <w:next w:val="Normal"/>
    <w:pPr>
      <w:keepNext/>
      <w:spacing w:before="160" w:after="80"/>
      <w:outlineLvl w:val="2"/>
      <w:jc w:val="left"/>
    </w:pPr>
    <w:rPr>
      <w:b/>
      <w:i/>
      <w:sz w:val="23"/>
      <w:color w:val="2E5496"/>
    </w:rPr>
  </w:style>
  <w:style w:type="paragraph" w:styleId="Code">
    <w:name w:val="Code"/>
    <w:basedOn w:val="Normal"/>
    <w:pPr>
      <w:shd w:val="clear" w:color="auto" w:fill="F3F4F6"/>
      <w:spacing w:after="0" w:line="240" w:lineRule="auto"/>
      <w:jc w:val="left"/>
      <w:ind w:left="120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60"/>
    </w:pPr>
    <w:rPr>
      <w:i/>
      <w:color w:val="404040"/>
    </w:rPr>
  </w:style>
  <w:style w:type="table" w:default="1" w:styleId="TableGrid">
    <w:name w:val="Table Grid"/>
    <w:tblPr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