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jc w:val="center"/>
        <w:rP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jc w:val="center"/>
        <w:rPr/>
      </w:pPr>
      <w:bookmarkStart w:colFirst="0" w:colLast="0" w:name="_2m784yplpyr3" w:id="1"/>
      <w:bookmarkEnd w:id="1"/>
      <w:r w:rsidDel="00000000" w:rsidR="00000000" w:rsidRPr="00000000">
        <w:rPr>
          <w:rtl w:val="0"/>
        </w:rPr>
        <w:t xml:space="preserve">Programming Assignment 2, Part 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center"/>
        <w:rPr/>
      </w:pPr>
      <w:bookmarkStart w:colFirst="0" w:colLast="0" w:name="_mu23ds33enb3" w:id="2"/>
      <w:bookmarkEnd w:id="2"/>
      <w:r w:rsidDel="00000000" w:rsidR="00000000" w:rsidRPr="00000000">
        <w:rPr>
          <w:rtl w:val="0"/>
        </w:rPr>
        <w:t xml:space="preserve">Group Messenger with a Local Persistent Key-Value Table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276" w:lineRule="auto"/>
        <w:ind w:left="0" w:right="0" w:firstLine="0"/>
        <w:contextualSpacing w:val="0"/>
        <w:jc w:val="left"/>
        <w:rPr/>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teaching staff hopes you had fun working on PA1! If you got frustrated, we feel for you and believe us, we were there too. While it is expected to be frustrated in the beginning, we promise you, it will get better and you will enjoy more and more as you do it. You might even start enjoying reading the Android documentation because it *is* actually the single best place to get great information about Android. We do hope, though, that you now understand a bit more about what it means to write networked apps on Android.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color w:val="ff0000"/>
        </w:rPr>
      </w:pPr>
      <w:r w:rsidDel="00000000" w:rsidR="00000000" w:rsidRPr="00000000">
        <w:rPr>
          <w:rtl w:val="0"/>
        </w:rPr>
        <w:t xml:space="preserve">Now back to the assignment: this assignment builds on the previous simple messenger and points to the next assignment. You will design a group messenger that can send message to multiple AVDs and store them in a permanent key-value storage. </w:t>
      </w:r>
      <w:r w:rsidDel="00000000" w:rsidR="00000000" w:rsidRPr="00000000">
        <w:rPr>
          <w:color w:val="ff0000"/>
          <w:rtl w:val="0"/>
        </w:rPr>
        <w:t xml:space="preserve">Once again, please follow everything exactly. Otherwise, it might result in getting no point for this assignment.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b w:val="1"/>
          <w:color w:val="666666"/>
          <w:sz w:val="24"/>
          <w:szCs w:val="24"/>
        </w:rPr>
      </w:pPr>
      <w:r w:rsidDel="00000000" w:rsidR="00000000" w:rsidRPr="00000000">
        <w:rPr>
          <w:rtl w:val="0"/>
        </w:rPr>
        <w:t xml:space="preserve">The rest of the description can be long. Please don’t “tl;dr”! Please read to the end first and get the overall picture. Then please revisit as you go!</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Unlike the previous assignment, we will have strict requirements for the UI as well as a few other components. In order to provide you more help in meeting these requirements, we have a project template you can import to Android Studio.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Make sure that you copy the correct directory. After unzipping, the directory name should be “GroupMessenger1”, and right underneath, it should contain a number of directories and files such as “app”, “build”, “gradle”, “build.gradle”, “gradlew”, etc.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276" w:lineRule="auto"/>
        <w:ind w:left="0" w:right="0" w:firstLine="0"/>
        <w:contextualSpacing w:val="0"/>
        <w:jc w:val="left"/>
        <w:rPr/>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first task is to write a content provider. This provider should be used to store all messages, but the abstraction it provides should be a general key-value table. Before you start, please read the following to understand the basics of a content provider: </w:t>
      </w:r>
      <w:hyperlink r:id="rId6">
        <w:r w:rsidDel="00000000" w:rsidR="00000000" w:rsidRPr="00000000">
          <w:rPr>
            <w:color w:val="1155cc"/>
            <w:u w:val="single"/>
            <w:rtl w:val="0"/>
          </w:rPr>
          <w:t xml:space="preserve">http://developer.android.com/guide/topics/providers/content-providers.html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Typically, a content provider supports basic SQL statements. However, you do not need to do it for this course. You will use a content provider as a table storage that stores (key, value) pairs.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are the requirements for your provider: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color w:val="ff0000"/>
          <w:rtl w:val="0"/>
        </w:rPr>
        <w:t xml:space="preserve">Y</w:t>
      </w:r>
      <w:r w:rsidDel="00000000" w:rsidR="00000000" w:rsidRPr="00000000">
        <w:rPr>
          <w:color w:val="ff0000"/>
          <w:rtl w:val="0"/>
        </w:rPr>
        <w:t xml:space="preserve">ou should not set any permission to access your provider.</w:t>
      </w:r>
      <w:r w:rsidDel="00000000" w:rsidR="00000000" w:rsidRPr="00000000">
        <w:rPr>
          <w:rtl w:val="0"/>
        </w:rPr>
        <w:t xml:space="preserve"> This is very important since if you set a permission to access your content provider, then our testing program cannot test your app. The current template takes care of this; so as long as you do not change the template, you will be fine.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provider’s URI should be “content://edu.buffalo.cse.cse486586.groupmessenger1.provider”, which means that any app should be able to access your provider using that URI. To simplify your implementation, your provider does not need to match/support any other URI pattern. This is already declared in the project template’s AndroidManifest.xml.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provider should have two columns.</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All keys and values that your provider stores should use the string data type.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provider should only implement insert() and query(). All other operations are not necessary.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Since the column names are “key” and “value”, any app should be able to insert a &lt;key, value&gt; pair as in the following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right="0"/>
        <w:contextualSpacing w:val="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ContentValues keyValueToInsert = new ContentValues();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 inserting &lt;”key-to-insert”, “value-to-insert”&gt;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keyValueToInsert.put(“key”, “key-to-insert”);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keyValueToInsert.put(“value”, “value-to-insert”);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Uri newUri = getContentResolver().insert(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    keyValueToInsert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firstLine="0"/>
              <w:contextualSpacing w:val="0"/>
              <w:rPr/>
            </w:pPr>
            <w:r w:rsidDel="00000000" w:rsidR="00000000" w:rsidRPr="00000000">
              <w:rPr>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right="0"/>
        <w:contextualSpacing w:val="0"/>
        <w:jc w:val="left"/>
        <w:rPr>
          <w:b w:val="1"/>
          <w:i w:val="1"/>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If there’s a new value inserted using an existing key, you need to keep </w:t>
      </w:r>
      <w:r w:rsidDel="00000000" w:rsidR="00000000" w:rsidRPr="00000000">
        <w:rPr>
          <w:color w:val="ff0000"/>
          <w:rtl w:val="0"/>
        </w:rPr>
        <w:t xml:space="preserve">only the most recent value</w:t>
      </w:r>
      <w:r w:rsidDel="00000000" w:rsidR="00000000" w:rsidRPr="00000000">
        <w:rPr>
          <w:rtl w:val="0"/>
        </w:rPr>
        <w:t xml:space="preserve">. You should not preserve the history of values under the same key.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Similarly, any app should be able to read a &lt;key, value&gt; pair from your provider with query(). Since your provider is a simple &lt;key, value&gt; table, we are not going to follow the Android convention; your provider should be able to answer queries as in the following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right="0"/>
        <w:contextualSpacing w:val="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Cursor resultCursor = getContentResolver().query(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projection </w:t>
            </w:r>
            <w:r w:rsidDel="00000000" w:rsidR="00000000" w:rsidRPr="00000000">
              <w:rPr>
                <w:rtl w:val="0"/>
              </w:rPr>
              <w:t xml:space="preserve">parameter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    “key-to-read”,    // we provide the key directly as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selectionArgs</w:t>
            </w:r>
            <w:r w:rsidDel="00000000" w:rsidR="00000000" w:rsidRPr="00000000">
              <w:rPr>
                <w:rtl w:val="0"/>
              </w:rPr>
              <w:t xml:space="preserve"> parameter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sortOrder </w:t>
            </w:r>
            <w:r w:rsidDel="00000000" w:rsidR="00000000" w:rsidRPr="00000000">
              <w:rPr>
                <w:rtl w:val="0"/>
              </w:rPr>
              <w:t xml:space="preserve">parameter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pPr>
      <w:r w:rsidDel="00000000" w:rsidR="00000000" w:rsidRPr="00000000">
        <w:rPr>
          <w:rtl w:val="0"/>
        </w:rPr>
        <w:t xml:space="preserve">Thus, your query() implementation should read the </w:t>
      </w:r>
      <w:r w:rsidDel="00000000" w:rsidR="00000000" w:rsidRPr="00000000">
        <w:rPr>
          <w:i w:val="1"/>
          <w:rtl w:val="0"/>
        </w:rPr>
        <w:t xml:space="preserve">selection</w:t>
      </w:r>
      <w:r w:rsidDel="00000000" w:rsidR="00000000" w:rsidRPr="00000000">
        <w:rPr>
          <w:rtl w:val="0"/>
        </w:rPr>
        <w:t xml:space="preserve"> parameter and use it as the key to retrieve from your table. In turn, the Cursor returned by your query() implementation should include only one row with two columns using your provider’s column names, i.e., “key” and “value”. You probably want to use android.database.MatrixCursor instead of implementing your own Cursor.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Your provider should store the &lt;key, value&gt; pairs using one of the data storage options. The details of possible data storage options are in </w:t>
      </w:r>
      <w:hyperlink r:id="rId7">
        <w:r w:rsidDel="00000000" w:rsidR="00000000" w:rsidRPr="00000000">
          <w:rPr>
            <w:color w:val="1155cc"/>
            <w:u w:val="single"/>
            <w:rtl w:val="0"/>
          </w:rPr>
          <w:t xml:space="preserve">http://developer.android.com/guide/topics/data/data-storage.html</w:t>
        </w:r>
      </w:hyperlink>
      <w:r w:rsidDel="00000000" w:rsidR="00000000" w:rsidRPr="00000000">
        <w:rPr>
          <w:rtl w:val="0"/>
        </w:rPr>
        <w:t xml:space="preserve">. You can choose any option; however, the easiest way to do this is probably use the internal storage with the key as the file name and the value stored in the file.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After implementing your provider, you can verify whether or not you are meeting the requirements by clicking “PTest” provided in the template. You can take a look at OnPTestClickListener.java to see what tests it does.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If your provider does not pass PTest, there will be no point for this portion of the assignment.</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31dlm68eonzx" w:id="6"/>
      <w:bookmarkEnd w:id="6"/>
      <w:r w:rsidDel="00000000" w:rsidR="00000000" w:rsidRPr="00000000">
        <w:rPr>
          <w:rtl w:val="0"/>
        </w:rPr>
        <w:t xml:space="preserve">Step 2: Implementing Multicast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final step is implementing multicast, i.e., sending messages to multiple AVDs.</w:t>
      </w:r>
      <w:r w:rsidDel="00000000" w:rsidR="00000000" w:rsidRPr="00000000">
        <w:rPr>
          <w:b w:val="1"/>
          <w:i w:val="1"/>
          <w:color w:val="ff0000"/>
          <w:rtl w:val="0"/>
        </w:rPr>
        <w:t xml:space="preserve"> </w:t>
      </w:r>
      <w:r w:rsidDel="00000000" w:rsidR="00000000" w:rsidRPr="00000000">
        <w:rPr>
          <w:rtl w:val="0"/>
        </w:rPr>
        <w:t xml:space="preserve">The requirements are the following.</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Your app should be able to send/receive multiple times.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Your app should be able to handle concurrent messages.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As with PA1, we have fixed the ports &amp; sockets.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u w:val="none"/>
        </w:rPr>
      </w:pPr>
      <w:r w:rsidDel="00000000" w:rsidR="00000000" w:rsidRPr="00000000">
        <w:rPr>
          <w:shd w:fill="cccccc" w:val="clear"/>
          <w:rtl w:val="0"/>
        </w:rPr>
        <w:t xml:space="preserve">python run_avd.py 5</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pPr>
      <w:r w:rsidDel="00000000" w:rsidR="00000000" w:rsidRPr="00000000">
        <w:rPr>
          <w:shd w:fill="cccccc" w:val="clear"/>
          <w:rtl w:val="0"/>
        </w:rPr>
        <w:t xml:space="preserve">python set_redir.py 10000</w:t>
      </w: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Your app needs to assign a sequence number to each message it receives. The sequence number should start from 0 and increase by 1 for each message.</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r w:rsidDel="00000000" w:rsidR="00000000" w:rsidRPr="00000000">
        <w:rPr>
          <w:rtl w:val="0"/>
        </w:rPr>
        <w:t xml:space="preserve">Each message and its sequence number should be stored as a &lt;key, value&gt; pair in your content provider. The key should be the sequence number for the message (as a string); the value should be the actual message (again, as a string).</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All app instances should store every message and its sequence number individually.</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pPr>
        <w:pStyle w:val="Heading4"/>
        <w:pBdr>
          <w:top w:space="0" w:sz="0" w:val="nil"/>
          <w:left w:space="0" w:sz="0" w:val="nil"/>
          <w:bottom w:space="0" w:sz="0" w:val="nil"/>
          <w:right w:space="0" w:sz="0" w:val="nil"/>
          <w:between w:space="0" w:sz="0" w:val="nil"/>
        </w:pBdr>
        <w:spacing w:after="40" w:before="240" w:lineRule="auto"/>
        <w:contextualSpacing w:val="0"/>
        <w:rPr>
          <w:b w:val="1"/>
          <w:i w:val="0"/>
          <w:sz w:val="24"/>
          <w:szCs w:val="24"/>
        </w:rPr>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8">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9">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10">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Please also make sure that you have installed your GroupMessenger1 on all the AVDs.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edu.buffalo.cse.cse486586.groupmessenger1</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11">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Your entire Android Studio project source code tree zipped up in .zip: The name should be GroupMessenger1.zip.</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“GroupMessenger1” directory.</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“GroupMessenger1” directory itself. This means that you need to go to the directory that contains “GroupMessenger1” directory and zip it from there.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color w:val="00000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2/24/2017 (Friday) 11:59:59am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666666"/>
          <w:sz w:val="24"/>
          <w:szCs w:val="24"/>
        </w:rPr>
      </w:pPr>
      <w:r w:rsidDel="00000000" w:rsidR="00000000" w:rsidRPr="00000000">
        <w:rPr>
          <w:rtl w:val="0"/>
        </w:rPr>
        <w:t xml:space="preserve">This is one hour before class. The deadline is firm; if your timestamp is 12pm, it is a late submission.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assignment is 5% of your final grade. The breakdown for this assignment is: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2% if your content provider behaves correctly.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(additional) 3% if your messenger app can send, receive, and store messages among all AVDs.</w:t>
      </w:r>
    </w:p>
    <w:p w:rsidR="00000000" w:rsidDel="00000000" w:rsidP="00000000" w:rsidRDefault="00000000" w:rsidRPr="00000000">
      <w:pPr>
        <w:pStyle w:val="Heading4"/>
        <w:pBdr>
          <w:top w:space="0" w:sz="0" w:val="nil"/>
          <w:left w:space="0" w:sz="0" w:val="nil"/>
          <w:bottom w:space="0" w:sz="0" w:val="nil"/>
          <w:right w:space="0" w:sz="0" w:val="nil"/>
          <w:between w:space="0" w:sz="0" w:val="nil"/>
        </w:pBdr>
        <w:contextualSpacing w:val="0"/>
        <w:rPr>
          <w:b w:val="1"/>
          <w:i w:val="0"/>
          <w:color w:val="000000"/>
          <w:sz w:val="24"/>
          <w:szCs w:val="24"/>
        </w:rPr>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2">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iki.cse.buffalo.edu/services/content/submit-script" TargetMode="External"/><Relationship Id="rId10" Type="http://schemas.openxmlformats.org/officeDocument/2006/relationships/hyperlink" Target="http://www.cse.buffalo.edu/~stevko/courses/cse486/spring17/files/groupmessenger1-grading.osx" TargetMode="External"/><Relationship Id="rId12" Type="http://schemas.openxmlformats.org/officeDocument/2006/relationships/hyperlink" Target="http://developer.android.com/reference/java/util/concurrent/ThreadPoolExecutor.html" TargetMode="External"/><Relationship Id="rId9" Type="http://schemas.openxmlformats.org/officeDocument/2006/relationships/hyperlink" Target="http://www.cse.buffalo.edu/~stevko/courses/cse486/spring17/files/groupmessenger1-grading.linux" TargetMode="External"/><Relationship Id="rId5" Type="http://schemas.openxmlformats.org/officeDocument/2006/relationships/hyperlink" Target="http://www.cse.buffalo.edu/~stevko/courses/cse486/spring17/files/GroupMessenger1.zip" TargetMode="External"/><Relationship Id="rId6" Type="http://schemas.openxmlformats.org/officeDocument/2006/relationships/hyperlink" Target="http://developer.android.com/guide/topics/providers/content-providers.html" TargetMode="External"/><Relationship Id="rId7" Type="http://schemas.openxmlformats.org/officeDocument/2006/relationships/hyperlink" Target="http://developer.android.com/guide/topics/data/data-storage.html" TargetMode="External"/><Relationship Id="rId8" Type="http://schemas.openxmlformats.org/officeDocument/2006/relationships/hyperlink" Target="http://www.cse.buffalo.edu/~stevko/courses/cse486/spring17/files/groupmessenger1-grading.exe" TargetMode="External"/></Relationships>
</file>