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rFonts w:ascii="Calibri" w:hAnsi="Calibri"/>
          <w:b/>
          <w:color w:val="173B36"/>
          <w:sz w:val="50"/>
        </w:rPr>
        <w:t>EDUPAIE</w:t>
        <w:br/>
        <w:t>Architecture et choix techniques</w:t>
      </w:r>
    </w:p>
    <w:p>
      <w:pPr>
        <w:jc w:val="center"/>
      </w:pPr>
      <w:r>
        <w:rPr>
          <w:color w:val="64736F"/>
        </w:rPr>
        <w:t>Documentation courte | Version 0.1.0 | 2 octobre 2026</w:t>
      </w:r>
    </w:p>
    <w:p>
      <w:pPr>
        <w:pStyle w:val="Heading1"/>
      </w:pPr>
      <w:r>
        <w:t>1. Présentation et architecture</w:t>
      </w:r>
    </w:p>
    <w:p>
      <w:r>
        <w:t>EduPaie est une application de bureau destinée au suivi des frais de scolarité. Elle gère les élèves, les paiements, les soldes et la production de reçus PDF. L’application est structurée en couches afin de séparer l’interface, les règles métier et l’accès aux données.</w:t>
      </w:r>
    </w:p>
    <w:tbl>
      <w:tblPr>
        <w:tblStyle w:val="TableGrid"/>
        <w:tblW w:type="auto" w:w="0"/>
        <w:tblLook w:firstColumn="1" w:firstRow="1" w:lastColumn="0" w:lastRow="0" w:noHBand="0" w:noVBand="1" w:val="04A0"/>
      </w:tblPr>
      <w:tblGrid>
        <w:gridCol w:w="4989"/>
        <w:gridCol w:w="4989"/>
      </w:tblGrid>
      <w:tr>
        <w:tc>
          <w:tcPr>
            <w:tcW w:type="dxa" w:w="4989"/>
            <w:vAlign w:val="center"/>
            <w:shd w:fill="173B36"/>
          </w:tcPr>
          <w:p>
            <w:pPr>
              <w:spacing w:after="40"/>
            </w:pPr>
            <w:r>
              <w:rPr>
                <w:rFonts w:ascii="Calibri" w:hAnsi="Calibri"/>
                <w:b/>
                <w:color w:val="FFFFFF"/>
                <w:sz w:val="17"/>
              </w:rPr>
              <w:t>Couche</w:t>
            </w:r>
          </w:p>
        </w:tc>
        <w:tc>
          <w:tcPr>
            <w:tcW w:type="dxa" w:w="4989"/>
            <w:vAlign w:val="center"/>
            <w:shd w:fill="173B36"/>
          </w:tcPr>
          <w:p>
            <w:pPr>
              <w:spacing w:after="40"/>
            </w:pPr>
            <w:r>
              <w:rPr>
                <w:rFonts w:ascii="Calibri" w:hAnsi="Calibri"/>
                <w:b/>
                <w:color w:val="FFFFFF"/>
                <w:sz w:val="17"/>
              </w:rPr>
              <w:t>Responsabilité</w:t>
            </w:r>
          </w:p>
        </w:tc>
      </w:tr>
      <w:tr>
        <w:tc>
          <w:tcPr>
            <w:tcW w:type="dxa" w:w="4989"/>
            <w:vAlign w:val="center"/>
          </w:tcPr>
          <w:p>
            <w:pPr>
              <w:spacing w:after="40"/>
            </w:pPr>
            <w:r>
              <w:rPr>
                <w:rFonts w:ascii="Calibri" w:hAnsi="Calibri"/>
                <w:sz w:val="17"/>
              </w:rPr>
              <w:t>Interface — PySide6</w:t>
            </w:r>
          </w:p>
        </w:tc>
        <w:tc>
          <w:tcPr>
            <w:tcW w:type="dxa" w:w="4989"/>
            <w:vAlign w:val="center"/>
          </w:tcPr>
          <w:p>
            <w:pPr>
              <w:spacing w:after="40"/>
            </w:pPr>
            <w:r>
              <w:rPr>
                <w:rFonts w:ascii="Calibri" w:hAnsi="Calibri"/>
                <w:sz w:val="17"/>
              </w:rPr>
              <w:t>Fenêtre principale, tableaux, formulaires et dialogues.</w:t>
            </w:r>
          </w:p>
        </w:tc>
      </w:tr>
      <w:tr>
        <w:tc>
          <w:tcPr>
            <w:tcW w:type="dxa" w:w="4989"/>
            <w:vAlign w:val="center"/>
            <w:shd w:fill="EDF4F0"/>
          </w:tcPr>
          <w:p>
            <w:pPr>
              <w:spacing w:after="40"/>
            </w:pPr>
            <w:r>
              <w:rPr>
                <w:rFonts w:ascii="Calibri" w:hAnsi="Calibri"/>
                <w:sz w:val="17"/>
              </w:rPr>
              <w:t>Services</w:t>
            </w:r>
          </w:p>
        </w:tc>
        <w:tc>
          <w:tcPr>
            <w:tcW w:type="dxa" w:w="4989"/>
            <w:vAlign w:val="center"/>
            <w:shd w:fill="EDF4F0"/>
          </w:tcPr>
          <w:p>
            <w:pPr>
              <w:spacing w:after="40"/>
            </w:pPr>
            <w:r>
              <w:rPr>
                <w:rFonts w:ascii="Calibri" w:hAnsi="Calibri"/>
                <w:sz w:val="17"/>
              </w:rPr>
              <w:t>Règles métier : élèves, paiements, statistiques et reçus.</w:t>
            </w:r>
          </w:p>
        </w:tc>
      </w:tr>
      <w:tr>
        <w:tc>
          <w:tcPr>
            <w:tcW w:type="dxa" w:w="4989"/>
            <w:vAlign w:val="center"/>
          </w:tcPr>
          <w:p>
            <w:pPr>
              <w:spacing w:after="40"/>
            </w:pPr>
            <w:r>
              <w:rPr>
                <w:rFonts w:ascii="Calibri" w:hAnsi="Calibri"/>
                <w:sz w:val="17"/>
              </w:rPr>
              <w:t>Repositories</w:t>
            </w:r>
          </w:p>
        </w:tc>
        <w:tc>
          <w:tcPr>
            <w:tcW w:type="dxa" w:w="4989"/>
            <w:vAlign w:val="center"/>
          </w:tcPr>
          <w:p>
            <w:pPr>
              <w:spacing w:after="40"/>
            </w:pPr>
            <w:r>
              <w:rPr>
                <w:rFonts w:ascii="Calibri" w:hAnsi="Calibri"/>
                <w:sz w:val="17"/>
              </w:rPr>
              <w:t>Requêtes SQLite pour lire et modifier les élèves et paiements.</w:t>
            </w:r>
          </w:p>
        </w:tc>
      </w:tr>
      <w:tr>
        <w:tc>
          <w:tcPr>
            <w:tcW w:type="dxa" w:w="4989"/>
            <w:vAlign w:val="center"/>
            <w:shd w:fill="EDF4F0"/>
          </w:tcPr>
          <w:p>
            <w:pPr>
              <w:spacing w:after="40"/>
            </w:pPr>
            <w:r>
              <w:rPr>
                <w:rFonts w:ascii="Calibri" w:hAnsi="Calibri"/>
                <w:sz w:val="17"/>
              </w:rPr>
              <w:t>Base — SQLite</w:t>
            </w:r>
          </w:p>
        </w:tc>
        <w:tc>
          <w:tcPr>
            <w:tcW w:type="dxa" w:w="4989"/>
            <w:vAlign w:val="center"/>
            <w:shd w:fill="EDF4F0"/>
          </w:tcPr>
          <w:p>
            <w:pPr>
              <w:spacing w:after="40"/>
            </w:pPr>
            <w:r>
              <w:rPr>
                <w:rFonts w:ascii="Calibri" w:hAnsi="Calibri"/>
                <w:sz w:val="17"/>
              </w:rPr>
              <w:t>Persistance locale, contraintes, index et migrations de schéma.</w:t>
            </w:r>
          </w:p>
        </w:tc>
      </w:tr>
      <w:tr>
        <w:tc>
          <w:tcPr>
            <w:tcW w:type="dxa" w:w="4989"/>
            <w:vAlign w:val="center"/>
          </w:tcPr>
          <w:p>
            <w:pPr>
              <w:spacing w:after="40"/>
            </w:pPr>
            <w:r>
              <w:rPr>
                <w:rFonts w:ascii="Calibri" w:hAnsi="Calibri"/>
                <w:sz w:val="17"/>
              </w:rPr>
              <w:t>Sortie PDF — ReportLab</w:t>
            </w:r>
          </w:p>
        </w:tc>
        <w:tc>
          <w:tcPr>
            <w:tcW w:type="dxa" w:w="4989"/>
            <w:vAlign w:val="center"/>
          </w:tcPr>
          <w:p>
            <w:pPr>
              <w:spacing w:after="40"/>
            </w:pPr>
            <w:r>
              <w:rPr>
                <w:rFonts w:ascii="Calibri" w:hAnsi="Calibri"/>
                <w:sz w:val="17"/>
              </w:rPr>
              <w:t>Mise en page des reçus de paiement générés par ReceiptService.</w:t>
            </w:r>
          </w:p>
        </w:tc>
      </w:tr>
    </w:tbl>
    <w:p>
      <w:r>
        <w:t>Flux courant : l’interface appelle un service; le service applique les validations et délègue la persistance au repository. ReceiptService assemble les informations et produit le PDF.</w:t>
      </w:r>
    </w:p>
    <w:p>
      <w:r>
        <w:br w:type="page"/>
      </w:r>
    </w:p>
    <w:p>
      <w:pPr>
        <w:pStyle w:val="Heading1"/>
      </w:pPr>
      <w:r>
        <w:t>2. Choix techniques et données</w:t>
      </w:r>
    </w:p>
    <w:tbl>
      <w:tblPr>
        <w:tblStyle w:val="TableGrid"/>
        <w:tblW w:type="auto" w:w="0"/>
        <w:tblLook w:firstColumn="1" w:firstRow="1" w:lastColumn="0" w:lastRow="0" w:noHBand="0" w:noVBand="1" w:val="04A0"/>
      </w:tblPr>
      <w:tblGrid>
        <w:gridCol w:w="3326"/>
        <w:gridCol w:w="3326"/>
        <w:gridCol w:w="3326"/>
      </w:tblGrid>
      <w:tr>
        <w:tc>
          <w:tcPr>
            <w:tcW w:type="dxa" w:w="3326"/>
            <w:vAlign w:val="center"/>
            <w:shd w:fill="173B36"/>
          </w:tcPr>
          <w:p>
            <w:pPr>
              <w:spacing w:after="40"/>
            </w:pPr>
            <w:r>
              <w:rPr>
                <w:rFonts w:ascii="Calibri" w:hAnsi="Calibri"/>
                <w:b/>
                <w:color w:val="FFFFFF"/>
                <w:sz w:val="17"/>
              </w:rPr>
              <w:t>Technologie</w:t>
            </w:r>
          </w:p>
        </w:tc>
        <w:tc>
          <w:tcPr>
            <w:tcW w:type="dxa" w:w="3326"/>
            <w:vAlign w:val="center"/>
            <w:shd w:fill="173B36"/>
          </w:tcPr>
          <w:p>
            <w:pPr>
              <w:spacing w:after="40"/>
            </w:pPr>
            <w:r>
              <w:rPr>
                <w:rFonts w:ascii="Calibri" w:hAnsi="Calibri"/>
                <w:b/>
                <w:color w:val="FFFFFF"/>
                <w:sz w:val="17"/>
              </w:rPr>
              <w:t>Usage</w:t>
            </w:r>
          </w:p>
        </w:tc>
        <w:tc>
          <w:tcPr>
            <w:tcW w:type="dxa" w:w="3326"/>
            <w:vAlign w:val="center"/>
            <w:shd w:fill="173B36"/>
          </w:tcPr>
          <w:p>
            <w:pPr>
              <w:spacing w:after="40"/>
            </w:pPr>
            <w:r>
              <w:rPr>
                <w:rFonts w:ascii="Calibri" w:hAnsi="Calibri"/>
                <w:b/>
                <w:color w:val="FFFFFF"/>
                <w:sz w:val="17"/>
              </w:rPr>
              <w:t>Justification observée dans le projet</w:t>
            </w:r>
          </w:p>
        </w:tc>
      </w:tr>
      <w:tr>
        <w:tc>
          <w:tcPr>
            <w:tcW w:type="dxa" w:w="3326"/>
            <w:vAlign w:val="center"/>
          </w:tcPr>
          <w:p>
            <w:pPr>
              <w:spacing w:after="40"/>
            </w:pPr>
            <w:r>
              <w:rPr>
                <w:rFonts w:ascii="Calibri" w:hAnsi="Calibri"/>
                <w:sz w:val="17"/>
              </w:rPr>
              <w:t>Python</w:t>
            </w:r>
          </w:p>
        </w:tc>
        <w:tc>
          <w:tcPr>
            <w:tcW w:type="dxa" w:w="3326"/>
            <w:vAlign w:val="center"/>
          </w:tcPr>
          <w:p>
            <w:pPr>
              <w:spacing w:after="40"/>
            </w:pPr>
            <w:r>
              <w:rPr>
                <w:rFonts w:ascii="Calibri" w:hAnsi="Calibri"/>
                <w:sz w:val="17"/>
              </w:rPr>
              <w:t>Logique applicative</w:t>
            </w:r>
          </w:p>
        </w:tc>
        <w:tc>
          <w:tcPr>
            <w:tcW w:type="dxa" w:w="3326"/>
            <w:vAlign w:val="center"/>
          </w:tcPr>
          <w:p>
            <w:pPr>
              <w:spacing w:after="40"/>
            </w:pPr>
            <w:r>
              <w:rPr>
                <w:rFonts w:ascii="Calibri" w:hAnsi="Calibri"/>
                <w:sz w:val="17"/>
              </w:rPr>
              <w:t>Écosystème simple à maintenir et partagé par les couches métier.</w:t>
            </w:r>
          </w:p>
        </w:tc>
      </w:tr>
      <w:tr>
        <w:tc>
          <w:tcPr>
            <w:tcW w:type="dxa" w:w="3326"/>
            <w:vAlign w:val="center"/>
            <w:shd w:fill="EDF4F0"/>
          </w:tcPr>
          <w:p>
            <w:pPr>
              <w:spacing w:after="40"/>
            </w:pPr>
            <w:r>
              <w:rPr>
                <w:rFonts w:ascii="Calibri" w:hAnsi="Calibri"/>
                <w:sz w:val="17"/>
              </w:rPr>
              <w:t>PySide6</w:t>
            </w:r>
          </w:p>
        </w:tc>
        <w:tc>
          <w:tcPr>
            <w:tcW w:type="dxa" w:w="3326"/>
            <w:vAlign w:val="center"/>
            <w:shd w:fill="EDF4F0"/>
          </w:tcPr>
          <w:p>
            <w:pPr>
              <w:spacing w:after="40"/>
            </w:pPr>
            <w:r>
              <w:rPr>
                <w:rFonts w:ascii="Calibri" w:hAnsi="Calibri"/>
                <w:sz w:val="17"/>
              </w:rPr>
              <w:t>Interface de bureau</w:t>
            </w:r>
          </w:p>
        </w:tc>
        <w:tc>
          <w:tcPr>
            <w:tcW w:type="dxa" w:w="3326"/>
            <w:vAlign w:val="center"/>
            <w:shd w:fill="EDF4F0"/>
          </w:tcPr>
          <w:p>
            <w:pPr>
              <w:spacing w:after="40"/>
            </w:pPr>
            <w:r>
              <w:rPr>
                <w:rFonts w:ascii="Calibri" w:hAnsi="Calibri"/>
                <w:sz w:val="17"/>
              </w:rPr>
              <w:t>Fournit les fenêtres natives, tableaux, onglets et dialogues.</w:t>
            </w:r>
          </w:p>
        </w:tc>
      </w:tr>
      <w:tr>
        <w:tc>
          <w:tcPr>
            <w:tcW w:type="dxa" w:w="3326"/>
            <w:vAlign w:val="center"/>
          </w:tcPr>
          <w:p>
            <w:pPr>
              <w:spacing w:after="40"/>
            </w:pPr>
            <w:r>
              <w:rPr>
                <w:rFonts w:ascii="Calibri" w:hAnsi="Calibri"/>
                <w:sz w:val="17"/>
              </w:rPr>
              <w:t>SQLite</w:t>
            </w:r>
          </w:p>
        </w:tc>
        <w:tc>
          <w:tcPr>
            <w:tcW w:type="dxa" w:w="3326"/>
            <w:vAlign w:val="center"/>
          </w:tcPr>
          <w:p>
            <w:pPr>
              <w:spacing w:after="40"/>
            </w:pPr>
            <w:r>
              <w:rPr>
                <w:rFonts w:ascii="Calibri" w:hAnsi="Calibri"/>
                <w:sz w:val="17"/>
              </w:rPr>
              <w:t>Stockage local</w:t>
            </w:r>
          </w:p>
        </w:tc>
        <w:tc>
          <w:tcPr>
            <w:tcW w:type="dxa" w:w="3326"/>
            <w:vAlign w:val="center"/>
          </w:tcPr>
          <w:p>
            <w:pPr>
              <w:spacing w:after="40"/>
            </w:pPr>
            <w:r>
              <w:rPr>
                <w:rFonts w:ascii="Calibri" w:hAnsi="Calibri"/>
                <w:sz w:val="17"/>
              </w:rPr>
              <w:t>Base fichier, sans serveur à administrer; transactions et contraintes SQL.</w:t>
            </w:r>
          </w:p>
        </w:tc>
      </w:tr>
      <w:tr>
        <w:tc>
          <w:tcPr>
            <w:tcW w:type="dxa" w:w="3326"/>
            <w:vAlign w:val="center"/>
            <w:shd w:fill="EDF4F0"/>
          </w:tcPr>
          <w:p>
            <w:pPr>
              <w:spacing w:after="40"/>
            </w:pPr>
            <w:r>
              <w:rPr>
                <w:rFonts w:ascii="Calibri" w:hAnsi="Calibri"/>
                <w:sz w:val="17"/>
              </w:rPr>
              <w:t>ReportLab</w:t>
            </w:r>
          </w:p>
        </w:tc>
        <w:tc>
          <w:tcPr>
            <w:tcW w:type="dxa" w:w="3326"/>
            <w:vAlign w:val="center"/>
            <w:shd w:fill="EDF4F0"/>
          </w:tcPr>
          <w:p>
            <w:pPr>
              <w:spacing w:after="40"/>
            </w:pPr>
            <w:r>
              <w:rPr>
                <w:rFonts w:ascii="Calibri" w:hAnsi="Calibri"/>
                <w:sz w:val="17"/>
              </w:rPr>
              <w:t>Reçus PDF</w:t>
            </w:r>
          </w:p>
        </w:tc>
        <w:tc>
          <w:tcPr>
            <w:tcW w:type="dxa" w:w="3326"/>
            <w:vAlign w:val="center"/>
            <w:shd w:fill="EDF4F0"/>
          </w:tcPr>
          <w:p>
            <w:pPr>
              <w:spacing w:after="40"/>
            </w:pPr>
            <w:r>
              <w:rPr>
                <w:rFonts w:ascii="Calibri" w:hAnsi="Calibri"/>
                <w:sz w:val="17"/>
              </w:rPr>
              <w:t>Génération de documents paginés avec texte et tableaux.</w:t>
            </w:r>
          </w:p>
        </w:tc>
      </w:tr>
      <w:tr>
        <w:tc>
          <w:tcPr>
            <w:tcW w:type="dxa" w:w="3326"/>
            <w:vAlign w:val="center"/>
          </w:tcPr>
          <w:p>
            <w:pPr>
              <w:spacing w:after="40"/>
            </w:pPr>
            <w:r>
              <w:rPr>
                <w:rFonts w:ascii="Calibri" w:hAnsi="Calibri"/>
                <w:sz w:val="17"/>
              </w:rPr>
              <w:t>PyInstaller + Inno Setup</w:t>
            </w:r>
          </w:p>
        </w:tc>
        <w:tc>
          <w:tcPr>
            <w:tcW w:type="dxa" w:w="3326"/>
            <w:vAlign w:val="center"/>
          </w:tcPr>
          <w:p>
            <w:pPr>
              <w:spacing w:after="40"/>
            </w:pPr>
            <w:r>
              <w:rPr>
                <w:rFonts w:ascii="Calibri" w:hAnsi="Calibri"/>
                <w:sz w:val="17"/>
              </w:rPr>
              <w:t>Distribution Windows</w:t>
            </w:r>
          </w:p>
        </w:tc>
        <w:tc>
          <w:tcPr>
            <w:tcW w:type="dxa" w:w="3326"/>
            <w:vAlign w:val="center"/>
          </w:tcPr>
          <w:p>
            <w:pPr>
              <w:spacing w:after="40"/>
            </w:pPr>
            <w:r>
              <w:rPr>
                <w:rFonts w:ascii="Calibri" w:hAnsi="Calibri"/>
                <w:sz w:val="17"/>
              </w:rPr>
              <w:t>Embarque Python puis fournit installation, raccourcis et désinstallation.</w:t>
            </w:r>
          </w:p>
        </w:tc>
      </w:tr>
    </w:tbl>
    <w:p>
      <w:pPr>
        <w:pStyle w:val="Heading2"/>
      </w:pPr>
      <w:r>
        <w:t>Modèle de données</w:t>
      </w:r>
    </w:p>
    <w:tbl>
      <w:tblPr>
        <w:tblStyle w:val="TableGrid"/>
        <w:tblW w:type="auto" w:w="0"/>
        <w:tblLook w:firstColumn="1" w:firstRow="1" w:lastColumn="0" w:lastRow="0" w:noHBand="0" w:noVBand="1" w:val="04A0"/>
      </w:tblPr>
      <w:tblGrid>
        <w:gridCol w:w="3326"/>
        <w:gridCol w:w="3326"/>
        <w:gridCol w:w="3326"/>
      </w:tblGrid>
      <w:tr>
        <w:tc>
          <w:tcPr>
            <w:tcW w:type="dxa" w:w="3326"/>
            <w:vAlign w:val="center"/>
            <w:shd w:fill="173B36"/>
          </w:tcPr>
          <w:p>
            <w:pPr>
              <w:spacing w:after="40"/>
            </w:pPr>
            <w:r>
              <w:rPr>
                <w:rFonts w:ascii="Calibri" w:hAnsi="Calibri"/>
                <w:b/>
                <w:color w:val="FFFFFF"/>
                <w:sz w:val="17"/>
              </w:rPr>
              <w:t>Table</w:t>
            </w:r>
          </w:p>
        </w:tc>
        <w:tc>
          <w:tcPr>
            <w:tcW w:type="dxa" w:w="3326"/>
            <w:vAlign w:val="center"/>
            <w:shd w:fill="173B36"/>
          </w:tcPr>
          <w:p>
            <w:pPr>
              <w:spacing w:after="40"/>
            </w:pPr>
            <w:r>
              <w:rPr>
                <w:rFonts w:ascii="Calibri" w:hAnsi="Calibri"/>
                <w:b/>
                <w:color w:val="FFFFFF"/>
                <w:sz w:val="17"/>
              </w:rPr>
              <w:t>Rôle</w:t>
            </w:r>
          </w:p>
        </w:tc>
        <w:tc>
          <w:tcPr>
            <w:tcW w:type="dxa" w:w="3326"/>
            <w:vAlign w:val="center"/>
            <w:shd w:fill="173B36"/>
          </w:tcPr>
          <w:p>
            <w:pPr>
              <w:spacing w:after="40"/>
            </w:pPr>
            <w:r>
              <w:rPr>
                <w:rFonts w:ascii="Calibri" w:hAnsi="Calibri"/>
                <w:b/>
                <w:color w:val="FFFFFF"/>
                <w:sz w:val="17"/>
              </w:rPr>
              <w:t>Relation / contraintes principales</w:t>
            </w:r>
          </w:p>
        </w:tc>
      </w:tr>
      <w:tr>
        <w:tc>
          <w:tcPr>
            <w:tcW w:type="dxa" w:w="3326"/>
            <w:vAlign w:val="center"/>
          </w:tcPr>
          <w:p>
            <w:pPr>
              <w:spacing w:after="40"/>
            </w:pPr>
            <w:r>
              <w:rPr>
                <w:rFonts w:ascii="Calibri" w:hAnsi="Calibri"/>
                <w:sz w:val="17"/>
              </w:rPr>
              <w:t>students</w:t>
            </w:r>
          </w:p>
        </w:tc>
        <w:tc>
          <w:tcPr>
            <w:tcW w:type="dxa" w:w="3326"/>
            <w:vAlign w:val="center"/>
          </w:tcPr>
          <w:p>
            <w:pPr>
              <w:spacing w:after="40"/>
            </w:pPr>
            <w:r>
              <w:rPr>
                <w:rFonts w:ascii="Calibri" w:hAnsi="Calibri"/>
                <w:sz w:val="17"/>
              </w:rPr>
              <w:t>Élèves et montant annuel dû.</w:t>
            </w:r>
          </w:p>
        </w:tc>
        <w:tc>
          <w:tcPr>
            <w:tcW w:type="dxa" w:w="3326"/>
            <w:vAlign w:val="center"/>
          </w:tcPr>
          <w:p>
            <w:pPr>
              <w:spacing w:after="40"/>
            </w:pPr>
            <w:r>
              <w:rPr>
                <w:rFonts w:ascii="Calibri" w:hAnsi="Calibri"/>
                <w:sz w:val="17"/>
              </w:rPr>
              <w:t>Unicité nom/prénom/classe/année; montant strictement positif.</w:t>
            </w:r>
          </w:p>
        </w:tc>
      </w:tr>
      <w:tr>
        <w:tc>
          <w:tcPr>
            <w:tcW w:type="dxa" w:w="3326"/>
            <w:vAlign w:val="center"/>
            <w:shd w:fill="EDF4F0"/>
          </w:tcPr>
          <w:p>
            <w:pPr>
              <w:spacing w:after="40"/>
            </w:pPr>
            <w:r>
              <w:rPr>
                <w:rFonts w:ascii="Calibri" w:hAnsi="Calibri"/>
                <w:sz w:val="17"/>
              </w:rPr>
              <w:t>payments</w:t>
            </w:r>
          </w:p>
        </w:tc>
        <w:tc>
          <w:tcPr>
            <w:tcW w:type="dxa" w:w="3326"/>
            <w:vAlign w:val="center"/>
            <w:shd w:fill="EDF4F0"/>
          </w:tcPr>
          <w:p>
            <w:pPr>
              <w:spacing w:after="40"/>
            </w:pPr>
            <w:r>
              <w:rPr>
                <w:rFonts w:ascii="Calibri" w:hAnsi="Calibri"/>
                <w:sz w:val="17"/>
              </w:rPr>
              <w:t>Historique des versements.</w:t>
            </w:r>
          </w:p>
        </w:tc>
        <w:tc>
          <w:tcPr>
            <w:tcW w:type="dxa" w:w="3326"/>
            <w:vAlign w:val="center"/>
            <w:shd w:fill="EDF4F0"/>
          </w:tcPr>
          <w:p>
            <w:pPr>
              <w:spacing w:after="40"/>
            </w:pPr>
            <w:r>
              <w:rPr>
                <w:rFonts w:ascii="Calibri" w:hAnsi="Calibri"/>
                <w:sz w:val="17"/>
              </w:rPr>
              <w:t>Chaque paiement référence un élève; suppression en cascade.</w:t>
            </w:r>
          </w:p>
        </w:tc>
      </w:tr>
    </w:tbl>
    <w:p>
      <w:r>
        <w:t>Relation : un élève peut avoir zéro à plusieurs paiements; chaque paiement appartient à un seul élève. Les montants sont des entiers en FCFA, le numéro de reçu est unique et le mode de paiement est contrôlé par SQLite.</w:t>
      </w:r>
    </w:p>
    <w:p>
      <w:r>
        <w:t>Fiabilité : les connexions activent les clés étrangères et sont fermées systématiquement; le schéma est versionné via PRAGMA user_version et les mises à niveau sont gérées dans database.py.</w:t>
      </w:r>
    </w:p>
    <w:p>
      <w:r>
        <w:br w:type="page"/>
      </w:r>
    </w:p>
    <w:p>
      <w:pPr>
        <w:pStyle w:val="Heading1"/>
      </w:pPr>
      <w:r>
        <w:t>3. Écrans principaux</w:t>
      </w:r>
    </w:p>
    <w:p>
      <w:r>
        <w:t>Les captures ci-dessous proviennent de l’application exécutée hors écran avec un jeu de démonstration temporaire. Aucune donnée de la base locale réelle n’est incluse.</w:t>
      </w:r>
    </w:p>
    <w:p>
      <w:r>
        <w:drawing>
          <wp:inline xmlns:a="http://schemas.openxmlformats.org/drawingml/2006/main" xmlns:pic="http://schemas.openxmlformats.org/drawingml/2006/picture">
            <wp:extent cx="5806440" cy="3444498"/>
            <wp:docPr id="1" name="Picture 1"/>
            <wp:cNvGraphicFramePr>
              <a:graphicFrameLocks noChangeAspect="1"/>
            </wp:cNvGraphicFramePr>
            <a:graphic>
              <a:graphicData uri="http://schemas.openxmlformats.org/drawingml/2006/picture">
                <pic:pic>
                  <pic:nvPicPr>
                    <pic:cNvPr id="0" name="dashboard.png"/>
                    <pic:cNvPicPr/>
                  </pic:nvPicPr>
                  <pic:blipFill>
                    <a:blip r:embed="rId11"/>
                    <a:stretch>
                      <a:fillRect/>
                    </a:stretch>
                  </pic:blipFill>
                  <pic:spPr>
                    <a:xfrm>
                      <a:off x="0" y="0"/>
                      <a:ext cx="5806440" cy="3444498"/>
                    </a:xfrm>
                    <a:prstGeom prst="rect"/>
                  </pic:spPr>
                </pic:pic>
              </a:graphicData>
            </a:graphic>
          </wp:inline>
        </w:drawing>
      </w:r>
    </w:p>
    <w:p>
      <w:pPr>
        <w:spacing w:after="100"/>
        <w:jc w:val="center"/>
      </w:pPr>
      <w:r>
        <w:rPr>
          <w:i/>
          <w:sz w:val="16"/>
        </w:rPr>
        <w:t>Figure 1 — Tableau de bord : indicateurs globaux et synthèse par classe.</w:t>
      </w:r>
    </w:p>
    <w:p>
      <w:r>
        <w:drawing>
          <wp:inline xmlns:a="http://schemas.openxmlformats.org/drawingml/2006/main" xmlns:pic="http://schemas.openxmlformats.org/drawingml/2006/picture">
            <wp:extent cx="5806440" cy="3444498"/>
            <wp:docPr id="2" name="Picture 2"/>
            <wp:cNvGraphicFramePr>
              <a:graphicFrameLocks noChangeAspect="1"/>
            </wp:cNvGraphicFramePr>
            <a:graphic>
              <a:graphicData uri="http://schemas.openxmlformats.org/drawingml/2006/picture">
                <pic:pic>
                  <pic:nvPicPr>
                    <pic:cNvPr id="0" name="students.png"/>
                    <pic:cNvPicPr/>
                  </pic:nvPicPr>
                  <pic:blipFill>
                    <a:blip r:embed="rId12"/>
                    <a:stretch>
                      <a:fillRect/>
                    </a:stretch>
                  </pic:blipFill>
                  <pic:spPr>
                    <a:xfrm>
                      <a:off x="0" y="0"/>
                      <a:ext cx="5806440" cy="3444498"/>
                    </a:xfrm>
                    <a:prstGeom prst="rect"/>
                  </pic:spPr>
                </pic:pic>
              </a:graphicData>
            </a:graphic>
          </wp:inline>
        </w:drawing>
      </w:r>
    </w:p>
    <w:p>
      <w:pPr>
        <w:spacing w:after="100"/>
        <w:jc w:val="center"/>
      </w:pPr>
      <w:r>
        <w:rPr>
          <w:i/>
          <w:sz w:val="16"/>
        </w:rPr>
        <w:t>Figure 2 — Élèves : recherche, filtres de classe et statut, actions sur la sélection.</w:t>
      </w:r>
    </w:p>
    <w:p>
      <w:r>
        <w:br w:type="page"/>
      </w:r>
    </w:p>
    <w:p>
      <w:pPr>
        <w:pStyle w:val="Heading1"/>
      </w:pPr>
      <w:r>
        <w:t>4. Historique et limites connues</w:t>
      </w:r>
    </w:p>
    <w:p>
      <w:r>
        <w:drawing>
          <wp:inline xmlns:a="http://schemas.openxmlformats.org/drawingml/2006/main" xmlns:pic="http://schemas.openxmlformats.org/drawingml/2006/picture">
            <wp:extent cx="5166360" cy="3336607"/>
            <wp:docPr id="3" name="Picture 3"/>
            <wp:cNvGraphicFramePr>
              <a:graphicFrameLocks noChangeAspect="1"/>
            </wp:cNvGraphicFramePr>
            <a:graphic>
              <a:graphicData uri="http://schemas.openxmlformats.org/drawingml/2006/picture">
                <pic:pic>
                  <pic:nvPicPr>
                    <pic:cNvPr id="0" name="history.png"/>
                    <pic:cNvPicPr/>
                  </pic:nvPicPr>
                  <pic:blipFill>
                    <a:blip r:embed="rId13"/>
                    <a:stretch>
                      <a:fillRect/>
                    </a:stretch>
                  </pic:blipFill>
                  <pic:spPr>
                    <a:xfrm>
                      <a:off x="0" y="0"/>
                      <a:ext cx="5166360" cy="3336607"/>
                    </a:xfrm>
                    <a:prstGeom prst="rect"/>
                  </pic:spPr>
                </pic:pic>
              </a:graphicData>
            </a:graphic>
          </wp:inline>
        </w:drawing>
      </w:r>
    </w:p>
    <w:p>
      <w:pPr>
        <w:jc w:val="center"/>
      </w:pPr>
      <w:r>
        <w:rPr>
          <w:i/>
          <w:sz w:val="16"/>
        </w:rPr>
        <w:t>Figure 3 — Détail d’un élève et historique des paiements.</w:t>
      </w:r>
    </w:p>
    <w:p>
      <w:pPr>
        <w:pStyle w:val="Heading2"/>
      </w:pPr>
      <w:r>
        <w:t>Limites actuelles</w:t>
      </w:r>
    </w:p>
    <w:p>
      <w:pPr>
        <w:pStyle w:val="ListBullet"/>
      </w:pPr>
      <w:r>
        <w:t>Application de bureau Windows; l’installateur configuré cible Windows x64.</w:t>
      </w:r>
    </w:p>
    <w:p>
      <w:pPr>
        <w:pStyle w:val="ListBullet"/>
      </w:pPr>
      <w:r>
        <w:t>SQLite est local au profil Windows (%LOCALAPPDATA%\EduPaie); la synchronisation réseau entre postes n’est pas implémentée.</w:t>
      </w:r>
    </w:p>
    <w:p>
      <w:pPr>
        <w:pStyle w:val="ListBullet"/>
      </w:pPr>
      <w:r>
        <w:t>Le flux actuel ne présente pas d’écran de connexion ni de rôles utilisateurs.</w:t>
      </w:r>
    </w:p>
    <w:p>
      <w:pPr>
        <w:pStyle w:val="ListBullet"/>
      </w:pPr>
      <w:r>
        <w:t>Aucune sauvegarde automatique depuis l’interface n’est prévue; les sauvegardes doivent être organisées séparément.</w:t>
      </w:r>
    </w:p>
    <w:p>
      <w:pPr>
        <w:pStyle w:val="ListBullet"/>
      </w:pPr>
      <w:r>
        <w:t>Les reçus contiennent l’identité EduPaie, mais aucun nom d’établissement, logo ou coordonnées personnalisés configurables.</w:t>
      </w:r>
    </w:p>
    <w:p>
      <w:r>
        <w:t>Les captures et le jeu de données utilisés pour ce document sont synthétiques. Le DOCX est la source entièrement éditable; le PDF conserve du texte sélectionnable et des images intégrées.</w:t>
      </w:r>
    </w:p>
    <w:sectPr w:rsidR="00FC693F" w:rsidRPr="0006063C" w:rsidSect="00034616">
      <w:footerReference w:type="default" r:id="rId9"/>
      <w:headerReference w:type="default" r:id="rId10"/>
      <w:pgSz w:w="11906" w:h="16838"/>
      <w:pgMar w:top="935" w:right="964" w:bottom="879" w:left="964"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36F"/>
        <w:sz w:val="16"/>
      </w:rPr>
      <w:t xml:space="preserve">EduPaie | Documentation technique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287A5D"/>
        <w:sz w:val="16"/>
      </w:rPr>
      <w:t>EDUPAIE  /  DOCUMENTATION TECHNIQUE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Calibri" w:hAnsi="Calibri"/>
      <w:b/>
      <w:bCs/>
      <w:color w:val="173B36"/>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Calibri" w:hAnsi="Calibri"/>
      <w:b/>
      <w:bCs/>
      <w:color w:val="287A5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EduPaie - Architecture et choix techniques</dc:title>
  <dc:subject>Documentation technique courte</dc:subject>
  <dc:creator>EduPaie</dc:creator>
  <cp:keywords/>
  <dc:description>generated by python-docx</dc:description>
  <cp:lastModifiedBy/>
  <cp:revision>1</cp:revision>
  <dcterms:created xsi:type="dcterms:W3CDTF">2013-12-23T23:15:00Z</dcterms:created>
  <dcterms:modified xsi:type="dcterms:W3CDTF">2013-12-23T23:15:00Z</dcterms:modified>
  <cp:category/>
</cp:coreProperties>
</file>