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중국 베이징 시내 왕징 지역 한 아파트 단지 앞 도로에 진입금지 표지판이 서 있다. /사진=베이징(중국)=우경희 특파원중국국가통계국은 4월 신규 주택가격지수가 전년 동월 대비 3.1% 하락했다고 17일 밝혔다. 이는 전월 -2.2%에 비해서도 낙폭을 키운 수치다. 중국 신규 주택가격지수는 지난해 6월 0%를 기록한 이후 10개월 연속 하락세다.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