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Subject Profile</w:t>
      </w:r>
    </w:p>
    <w:p>
      <w:r>
        <w:rPr>
          <w:color w:val="0F766E"/>
        </w:rPr>
        <w:t>Identifiers and online footprint of one person or organisation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Case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Profile of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Analyst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Last updated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1"/>
      </w:pPr>
      <w:r>
        <w:t>Identity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Source (Ref)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rPr>
          <w:i/>
          <w:color w:val="595959"/>
        </w:rPr>
        <w:t>[Name, aliases, date of birth, gender, nationality, physical description, photographs (keep the image file in the case folder).]</w:t>
      </w:r>
    </w:p>
    <w:p>
      <w:pPr>
        <w:pStyle w:val="Heading1"/>
      </w:pPr>
      <w:r>
        <w:t>Addresses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Type (home, work, mail)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Ref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1"/>
      </w:pPr>
      <w:r>
        <w:t>Phone numbers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Number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Carrier / type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Ref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1"/>
      </w:pPr>
      <w:r>
        <w:t>Email addresses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Provider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Seen in breaches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Ref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1"/>
      </w:pPr>
      <w:r>
        <w:t>Online accounts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7F2F1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1440"/>
            <w:shd w:val="clear" w:color="auto" w:fill="E7F2F1"/>
          </w:tcPr>
          <w:p>
            <w:r>
              <w:rPr>
                <w:b/>
              </w:rPr>
              <w:t>Handle</w:t>
            </w:r>
          </w:p>
        </w:tc>
        <w:tc>
          <w:tcPr>
            <w:tcW w:type="dxa" w:w="1440"/>
            <w:shd w:val="clear" w:color="auto" w:fill="E7F2F1"/>
          </w:tcPr>
          <w:p>
            <w:r>
              <w:rPr>
                <w:b/>
              </w:rPr>
              <w:t>Profile URL</w:t>
            </w:r>
          </w:p>
        </w:tc>
        <w:tc>
          <w:tcPr>
            <w:tcW w:type="dxa" w:w="1440"/>
            <w:shd w:val="clear" w:color="auto" w:fill="E7F2F1"/>
          </w:tcPr>
          <w:p>
            <w:r>
              <w:rPr>
                <w:b/>
              </w:rPr>
              <w:t>Account ID</w:t>
            </w:r>
          </w:p>
        </w:tc>
        <w:tc>
          <w:tcPr>
            <w:tcW w:type="dxa" w:w="1440"/>
            <w:shd w:val="clear" w:color="auto" w:fill="E7F2F1"/>
          </w:tcPr>
          <w:p>
            <w:r>
              <w:rPr>
                <w:b/>
              </w:rPr>
              <w:t>Created / active</w:t>
            </w:r>
          </w:p>
        </w:tc>
        <w:tc>
          <w:tcPr>
            <w:tcW w:type="dxa" w:w="1440"/>
            <w:shd w:val="clear" w:color="auto" w:fill="E7F2F1"/>
          </w:tcPr>
          <w:p>
            <w:r>
              <w:rPr>
                <w:b/>
              </w:rPr>
              <w:t>Ref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pPr>
        <w:pStyle w:val="Heading1"/>
      </w:pPr>
      <w:r>
        <w:t>Associates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Relationship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How established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Ref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1"/>
      </w:pPr>
      <w:r>
        <w:t>Employment, education, organisations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Organisation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Ref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1"/>
      </w:pPr>
      <w:r>
        <w:t>Vehicles and assets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7F2F1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  <w:shd w:val="clear" w:color="auto" w:fill="E7F2F1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2880"/>
            <w:shd w:val="clear" w:color="auto" w:fill="E7F2F1"/>
          </w:tcPr>
          <w:p>
            <w:r>
              <w:rPr>
                <w:b/>
              </w:rPr>
              <w:t>Ref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pStyle w:val="Heading1"/>
      </w:pPr>
      <w:r>
        <w:t>Sources and evidence</w:t>
      </w:r>
    </w:p>
    <w:p>
      <w:r>
        <w:rPr>
          <w:i/>
          <w:color w:val="595959"/>
        </w:rPr>
        <w:t>[One row per source. Run folder and SHA-256 come from the Argos run folder (command.txt and SHA256SUMS), so every statement can be traced back to the exact capture. Grade (UNODC 4 x 4): source A = no doubt about reliability, B = mostly reliable, C = mostly unreliable, X = cannot be judged; information 1 = no doubt about accuracy, 2 = known personally to the source, 3 = not known personally but corroborated, 4 = not known personally and not corroborated. Grade the source and the information separately, e.g. B2.]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7F2F1"/>
          </w:tcPr>
          <w:p>
            <w:r>
              <w:rPr>
                <w:b/>
              </w:rPr>
              <w:t>Ref</w:t>
            </w:r>
          </w:p>
        </w:tc>
        <w:tc>
          <w:tcPr>
            <w:tcW w:type="dxa" w:w="1234"/>
            <w:shd w:val="clear" w:color="auto" w:fill="E7F2F1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  <w:shd w:val="clear" w:color="auto" w:fill="E7F2F1"/>
          </w:tcPr>
          <w:p>
            <w:r>
              <w:rPr>
                <w:b/>
              </w:rPr>
              <w:t>URL / origin</w:t>
            </w:r>
          </w:p>
        </w:tc>
        <w:tc>
          <w:tcPr>
            <w:tcW w:type="dxa" w:w="1234"/>
            <w:shd w:val="clear" w:color="auto" w:fill="E7F2F1"/>
          </w:tcPr>
          <w:p>
            <w:r>
              <w:rPr>
                <w:b/>
              </w:rPr>
              <w:t>Captured (UTC)</w:t>
            </w:r>
          </w:p>
        </w:tc>
        <w:tc>
          <w:tcPr>
            <w:tcW w:type="dxa" w:w="1234"/>
            <w:shd w:val="clear" w:color="auto" w:fill="E7F2F1"/>
          </w:tcPr>
          <w:p>
            <w:r>
              <w:rPr>
                <w:b/>
              </w:rPr>
              <w:t>Argos run folder</w:t>
            </w:r>
          </w:p>
        </w:tc>
        <w:tc>
          <w:tcPr>
            <w:tcW w:type="dxa" w:w="1234"/>
            <w:shd w:val="clear" w:color="auto" w:fill="E7F2F1"/>
          </w:tcPr>
          <w:p>
            <w:r>
              <w:rPr>
                <w:b/>
              </w:rPr>
              <w:t>SHA-256</w:t>
            </w:r>
          </w:p>
        </w:tc>
        <w:tc>
          <w:tcPr>
            <w:tcW w:type="dxa" w:w="1234"/>
            <w:shd w:val="clear" w:color="auto" w:fill="E7F2F1"/>
          </w:tcPr>
          <w:p>
            <w:r>
              <w:rPr>
                <w:b/>
              </w:rPr>
              <w:t>Grade</w:t>
            </w:r>
          </w:p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Prepared with Argos — keep with the case evidence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CLASSIFICATION / HANDLING: 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