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Subject Profile</w:t>
      </w:r>
    </w:p>
    <w:p>
      <w:r>
        <w:rPr>
          <w:color w:val="0F766E"/>
        </w:rPr>
        <w:t>Identifiers and online footprint of one person or organisation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Case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Profile of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Analyst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Last updated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Identity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Source (Ref)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Confidence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i/>
          <w:color w:val="595959"/>
        </w:rPr>
        <w:t>[Name, aliases, date of birth, gender, nationality, physical description, photographs (keep the image file in the case folder).]</w:t>
      </w:r>
    </w:p>
    <w:p>
      <w:pPr>
        <w:pStyle w:val="Heading1"/>
      </w:pPr>
      <w:r>
        <w:t>Addresses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Type (home, work, mail)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Phone numbers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Number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Carrier / type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Email addresses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Provider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Seen in breaches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Online accounts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7F2F1"/>
          </w:tcPr>
          <w:p>
            <w:r>
              <w:rPr>
                <w:b/>
              </w:rPr>
              <w:t>Platform</w:t>
            </w:r>
          </w:p>
        </w:tc>
        <w:tc>
          <w:tcPr>
            <w:tcW w:type="dxa" w:w="1440"/>
            <w:shd w:val="clear" w:color="auto" w:fill="E7F2F1"/>
          </w:tcPr>
          <w:p>
            <w:r>
              <w:rPr>
                <w:b/>
              </w:rPr>
              <w:t>Handle</w:t>
            </w:r>
          </w:p>
        </w:tc>
        <w:tc>
          <w:tcPr>
            <w:tcW w:type="dxa" w:w="1440"/>
            <w:shd w:val="clear" w:color="auto" w:fill="E7F2F1"/>
          </w:tcPr>
          <w:p>
            <w:r>
              <w:rPr>
                <w:b/>
              </w:rPr>
              <w:t>Profile URL</w:t>
            </w:r>
          </w:p>
        </w:tc>
        <w:tc>
          <w:tcPr>
            <w:tcW w:type="dxa" w:w="1440"/>
            <w:shd w:val="clear" w:color="auto" w:fill="E7F2F1"/>
          </w:tcPr>
          <w:p>
            <w:r>
              <w:rPr>
                <w:b/>
              </w:rPr>
              <w:t>Account ID</w:t>
            </w:r>
          </w:p>
        </w:tc>
        <w:tc>
          <w:tcPr>
            <w:tcW w:type="dxa" w:w="1440"/>
            <w:shd w:val="clear" w:color="auto" w:fill="E7F2F1"/>
          </w:tcPr>
          <w:p>
            <w:r>
              <w:rPr>
                <w:b/>
              </w:rPr>
              <w:t>Created / active</w:t>
            </w:r>
          </w:p>
        </w:tc>
        <w:tc>
          <w:tcPr>
            <w:tcW w:type="dxa" w:w="1440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1"/>
      </w:pPr>
      <w:r>
        <w:t>Associates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Relationship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How established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Employment, education, organisations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Organisation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Vehicles and assets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Details</w:t>
            </w:r>
          </w:p>
        </w:tc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pStyle w:val="Heading1"/>
      </w:pPr>
      <w:r>
        <w:t>Sources and evidence</w:t>
      </w:r>
    </w:p>
    <w:p>
      <w:r>
        <w:rPr>
          <w:i/>
          <w:color w:val="595959"/>
        </w:rPr>
        <w:t>[One row per source. Run folder and SHA-256 come from the Argos run folder (command.txt and SHA256SUMS), so every statement can be traced back to the exact capture. Source reliability A (reliable) to F (cannot be judged); information credibility 1 (confirmed by other sources) to 6 (cannot be judged).]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Ref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URL / origin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Captured (UTC)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Argos run folder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SHA-256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Rel./Cred.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Prepared with Argos — keep with the case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CLASSIFICATION / HANDLING: 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