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Event Assessment</w:t>
      </w:r>
    </w:p>
    <w:p>
      <w:r>
        <w:rPr>
          <w:color w:val="0F766E"/>
        </w:rPr>
        <w:t>Open-source monitoring of a planned or ongoing event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Assessment reference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Date(s)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Organiser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Expected attendance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Analyst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Status (draft / issued)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Assessment</w:t>
      </w:r>
    </w:p>
    <w:p>
      <w:r>
        <w:rPr>
          <w:i/>
          <w:color w:val="595959"/>
        </w:rPr>
        <w:t>[Bottom line first: overall risk level and the main reasons. Confidence: High = several independent, reliable sources agree; Moderate = credible but not fully corroborated; Low = single or questionable source, treat as a lead. Likelihood words (ICD 203, one row only): almost no chance, very unlikely, unlikely, roughly even chance, likely, very likely, almost certain. Never put a confidence level and a likelihood word in the same sentence.]</w:t>
      </w:r>
    </w:p>
    <w:p>
      <w:pPr>
        <w:pStyle w:val="Heading1"/>
      </w:pPr>
      <w:r>
        <w:t>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Email / radio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What we monitor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Type (hashtag, account, page, group, channel)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Groups and people of interest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Stance / intent</w:t>
            </w:r>
          </w:p>
        </w:tc>
        <w:tc>
          <w:tcPr>
            <w:tcW w:type="dxa" w:w="2160"/>
            <w:shd w:val="clear" w:color="auto" w:fill="E7F2F1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Indicators and incidents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7F2F1"/>
          </w:tcPr>
          <w:p>
            <w:r>
              <w:rPr>
                <w:b/>
              </w:rPr>
              <w:t>Time (UTC)</w:t>
            </w:r>
          </w:p>
        </w:tc>
        <w:tc>
          <w:tcPr>
            <w:tcW w:type="dxa" w:w="1728"/>
            <w:shd w:val="clear" w:color="auto" w:fill="E7F2F1"/>
          </w:tcPr>
          <w:p>
            <w:r>
              <w:rPr>
                <w:b/>
              </w:rPr>
              <w:t>What was seen</w:t>
            </w:r>
          </w:p>
        </w:tc>
        <w:tc>
          <w:tcPr>
            <w:tcW w:type="dxa" w:w="1728"/>
            <w:shd w:val="clear" w:color="auto" w:fill="E7F2F1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1728"/>
            <w:shd w:val="clear" w:color="auto" w:fill="E7F2F1"/>
          </w:tcPr>
          <w:p>
            <w:r>
              <w:rPr>
                <w:b/>
              </w:rPr>
              <w:t>Assessed significance</w:t>
            </w:r>
          </w:p>
        </w:tc>
        <w:tc>
          <w:tcPr>
            <w:tcW w:type="dxa" w:w="1728"/>
            <w:shd w:val="clear" w:color="auto" w:fill="E7F2F1"/>
          </w:tcPr>
          <w:p>
            <w:r>
              <w:rPr>
                <w:b/>
              </w:rPr>
              <w:t>Ref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Heading1"/>
      </w:pPr>
      <w:r>
        <w:t>Resources</w:t>
      </w:r>
    </w:p>
    <w:p>
      <w:r>
        <w:rPr>
          <w:i/>
          <w:color w:val="595959"/>
        </w:rPr>
        <w:t>[Live feeds, maps, dashboards, browser tab groups used for the event.]</w:t>
      </w:r>
    </w:p>
    <w:p>
      <w:pPr>
        <w:pStyle w:val="Heading1"/>
      </w:pPr>
      <w:r>
        <w:t>Sources and evidence</w:t>
      </w:r>
    </w:p>
    <w:p>
      <w:r>
        <w:rPr>
          <w:i/>
          <w:color w:val="595959"/>
        </w:rPr>
        <w:t>[One row per source. The evidence folder is the Speculator folder for the target (~/Downloads/evidence/&lt;target&gt;/, session log in logs/); compute the SHA-256 of each file with sha256sum, so every statement can be traced back to the exact capture. Grade (UNODC 4 x 4): source A = no doubt about reliability, B = mostly reliable, C = mostly unreliable, X = cannot be judged; information 1 = no doubt about accuracy, 2 = known personally to the source, 3 = not known personally but corroborated, 4 = not known personally and not corroborated. Grade the source and the information separately, e.g. B2.]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Ref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URL / origin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Captured (UTC)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Evidence folder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234"/>
            <w:shd w:val="clear" w:color="auto" w:fill="E7F2F1"/>
          </w:tcPr>
          <w:p>
            <w:r>
              <w:rPr>
                <w:b/>
              </w:rPr>
              <w:t>Grade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with Speculator — keep with the case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CLASSIFICATION / HANDLING: 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