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Online Investigations Policy</w:t>
      </w:r>
    </w:p>
    <w:p>
      <w:r>
        <w:rPr>
          <w:color w:val="0F766E"/>
        </w:rPr>
        <w:t>Template for teams that research open sources</w:t>
      </w:r>
    </w:p>
    <w:p>
      <w:r>
        <w:rPr>
          <w:i/>
          <w:color w:val="595959"/>
        </w:rPr>
        <w:t>[Adapt every section to your organisation and to the law that applies to you. This template is not legal advice.]</w:t>
      </w:r>
    </w:p>
    <w:p>
      <w:pPr>
        <w:pStyle w:val="Heading1"/>
      </w:pPr>
      <w:r>
        <w:t>1. Purpose</w:t>
      </w:r>
    </w:p>
    <w:p>
      <w:r>
        <w:rPr>
          <w:i/>
          <w:color w:val="595959"/>
        </w:rPr>
        <w:t>[Why the organisation carries out online research and what this policy protects: the people researched, the investigators and the integrity of the evidence.]</w:t>
      </w:r>
    </w:p>
    <w:p>
      <w:pPr>
        <w:pStyle w:val="Heading1"/>
      </w:pPr>
      <w:r>
        <w:t>2. Scope</w:t>
      </w:r>
    </w:p>
    <w:p>
      <w:r>
        <w:rPr>
          <w:i/>
          <w:color w:val="595959"/>
        </w:rPr>
        <w:t>[Who the policy applies to and which activities it covers (open sources, social media, commercial data, research accounts).]</w:t>
      </w:r>
    </w:p>
    <w:p>
      <w:pPr>
        <w:pStyle w:val="Heading1"/>
      </w:pPr>
      <w:r>
        <w:t>3. Definitions</w:t>
      </w:r>
    </w:p>
    <w:p>
      <w:r>
        <w:rPr>
          <w:i/>
          <w:color w:val="595959"/>
        </w:rPr>
        <w:t>[Open source, publicly available information, private information, research account, run folder, evidence.]</w:t>
      </w:r>
    </w:p>
    <w:p>
      <w:pPr>
        <w:pStyle w:val="Heading1"/>
      </w:pPr>
      <w:r>
        <w:t>4. Lawful basis and proportionality</w:t>
      </w:r>
    </w:p>
    <w:p>
      <w:r>
        <w:rPr>
          <w:i/>
          <w:color w:val="595959"/>
        </w:rPr>
        <w:t>[When research is allowed, who authorises it, how necessity and proportionality are assessed and recorded.]</w:t>
      </w:r>
    </w:p>
    <w:p>
      <w:pPr>
        <w:pStyle w:val="Heading1"/>
      </w:pPr>
      <w:r>
        <w:t>5. Authorisation</w:t>
      </w:r>
    </w:p>
    <w:p>
      <w:r>
        <w:rPr>
          <w:i/>
          <w:color w:val="595959"/>
        </w:rPr>
        <w:t>[Levels of research (passive viewing, use of research accounts, interaction) and who may approve each.]</w:t>
      </w:r>
    </w:p>
    <w:p>
      <w:pPr>
        <w:pStyle w:val="Heading1"/>
      </w:pPr>
      <w:r>
        <w:t>6. Research accounts and identities</w:t>
      </w:r>
    </w:p>
    <w:p>
      <w:r>
        <w:rPr>
          <w:i/>
          <w:color w:val="595959"/>
        </w:rPr>
        <w:t>[How accounts are requested, created, recorded, used and retired; what they may and may not do.]</w:t>
      </w:r>
    </w:p>
    <w:p>
      <w:pPr>
        <w:pStyle w:val="Heading1"/>
      </w:pPr>
      <w:r>
        <w:t>7. Operational security</w:t>
      </w:r>
    </w:p>
    <w:p>
      <w:r>
        <w:rPr>
          <w:i/>
          <w:color w:val="595959"/>
        </w:rPr>
        <w:t>[Dedicated virtual machines, network separation, no personal accounts, handling of malicious content.]</w:t>
      </w:r>
    </w:p>
    <w:p>
      <w:pPr>
        <w:pStyle w:val="Heading1"/>
      </w:pPr>
      <w:r>
        <w:t>8. Collection and evidence</w:t>
      </w:r>
    </w:p>
    <w:p>
      <w:r>
        <w:rPr>
          <w:i/>
          <w:color w:val="595959"/>
        </w:rPr>
        <w:t>[Capture standards (time in UTC, URL, hash), storage in case folders, chain of custody.]</w:t>
      </w:r>
    </w:p>
    <w:p>
      <w:pPr>
        <w:pStyle w:val="Heading1"/>
      </w:pPr>
      <w:r>
        <w:t>9. Data protection and retention</w:t>
      </w:r>
    </w:p>
    <w:p>
      <w:r>
        <w:rPr>
          <w:i/>
          <w:color w:val="595959"/>
        </w:rPr>
        <w:t>[Minimisation, access control, retention periods, deletion, subject rights.]</w:t>
      </w:r>
    </w:p>
    <w:p>
      <w:pPr>
        <w:pStyle w:val="Heading1"/>
      </w:pPr>
      <w:r>
        <w:t>10. Training and supervision</w:t>
      </w:r>
    </w:p>
    <w:p>
      <w:r>
        <w:rPr>
          <w:i/>
          <w:color w:val="595959"/>
        </w:rPr>
        <w:t>[Required training before research, refreshers, supervision and audit.]</w:t>
      </w:r>
    </w:p>
    <w:p>
      <w:pPr>
        <w:pStyle w:val="Heading1"/>
      </w:pPr>
      <w:r>
        <w:t>11. Review</w:t>
      </w:r>
    </w:p>
    <w:p>
      <w:r>
        <w:rPr>
          <w:i/>
          <w:color w:val="595959"/>
        </w:rPr>
        <w:t>[How often the policy is reviewed and who owns it.]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Speculator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