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AUNG KHANT ZIN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2340065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ARCLAB PTE. LTD.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