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167" w14:textId="77777777" w:rsidR="00135307" w:rsidRDefault="00135307" w:rsidP="00135307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BodyText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BodyText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BodyText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1FA4E0" w14:textId="5FABA92C" w:rsidR="00023FD6" w:rsidRPr="00705A9F" w:rsidRDefault="00023FD6" w:rsidP="00BF4059">
      <w:pPr>
        <w:pStyle w:val="Heading1"/>
        <w:spacing w:before="0"/>
        <w:rPr>
          <w:lang w:val="ru-RU"/>
        </w:rPr>
      </w:pPr>
      <w:r w:rsidRPr="00705A9F">
        <w:rPr>
          <w:lang w:val="ru-RU"/>
        </w:rPr>
        <w:lastRenderedPageBreak/>
        <w:t>Описание САПР</w:t>
      </w:r>
    </w:p>
    <w:p w14:paraId="72B20156" w14:textId="7A6C6500" w:rsidR="006B6951" w:rsidRPr="00705A9F" w:rsidRDefault="006B6951" w:rsidP="003215D4">
      <w:pPr>
        <w:pStyle w:val="Heading2"/>
        <w:spacing w:before="0"/>
        <w:rPr>
          <w:lang w:val="ru-RU"/>
        </w:rPr>
      </w:pPr>
      <w:r w:rsidRPr="00705A9F">
        <w:rPr>
          <w:lang w:val="ru-RU"/>
        </w:rPr>
        <w:t>Описание программы</w:t>
      </w: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4A81766" w14:textId="045B12F6" w:rsidR="008B506B" w:rsidRDefault="006856FD" w:rsidP="00AD67B6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2FCB85C" w14:textId="3618D0B4" w:rsidR="00F038D3" w:rsidRPr="00705A9F" w:rsidRDefault="008B506B" w:rsidP="00644E5C">
      <w:pPr>
        <w:pStyle w:val="Heading2"/>
        <w:rPr>
          <w:lang w:val="ru-RU"/>
        </w:rPr>
      </w:pPr>
      <w:r w:rsidRPr="00705A9F">
        <w:rPr>
          <w:lang w:val="ru-RU"/>
        </w:rPr>
        <w:t>Описание API</w:t>
      </w: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Application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Interface)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</w:t>
      </w:r>
      <w:r w:rsidRPr="006A6E7B">
        <w:lastRenderedPageBreak/>
        <w:t xml:space="preserve">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"/>
        <w:gridCol w:w="1827"/>
        <w:gridCol w:w="16"/>
        <w:gridCol w:w="2198"/>
        <w:gridCol w:w="70"/>
        <w:gridCol w:w="2820"/>
      </w:tblGrid>
      <w:tr w:rsidR="00484F41" w:rsidRPr="009B3B4E" w14:paraId="5CF91F52" w14:textId="77777777" w:rsidTr="005455AD">
        <w:trPr>
          <w:trHeight w:val="366"/>
          <w:jc w:val="center"/>
        </w:trPr>
        <w:tc>
          <w:tcPr>
            <w:tcW w:w="2562" w:type="dxa"/>
            <w:gridSpan w:val="2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  <w:gridSpan w:val="2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820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A5588D" w14:paraId="1F44B400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  <w:gridSpan w:val="2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A5588D" w14:paraId="3289EE81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  <w:gridSpan w:val="2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A5588D" w14:paraId="05497EBD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  <w:gridSpan w:val="2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  <w:tr w:rsidR="00484F41" w:rsidRPr="009B3B4E" w14:paraId="73A07257" w14:textId="77777777" w:rsidTr="005455AD">
        <w:trPr>
          <w:trHeight w:val="733"/>
          <w:jc w:val="center"/>
        </w:trPr>
        <w:tc>
          <w:tcPr>
            <w:tcW w:w="2547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gridSpan w:val="2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  <w:gridSpan w:val="2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90" w:type="dxa"/>
            <w:gridSpan w:val="2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A5588D" w14:paraId="146C1A5E" w14:textId="77777777" w:rsidTr="005455AD">
        <w:trPr>
          <w:trHeight w:val="733"/>
          <w:jc w:val="center"/>
        </w:trPr>
        <w:tc>
          <w:tcPr>
            <w:tcW w:w="2547" w:type="dxa"/>
          </w:tcPr>
          <w:p w14:paraId="6D4F6C9D" w14:textId="77777777" w:rsidR="00484F41" w:rsidRPr="009B5E14" w:rsidRDefault="00484F41" w:rsidP="000D420B">
            <w:pPr>
              <w:pStyle w:val="BodyText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842" w:type="dxa"/>
            <w:gridSpan w:val="2"/>
          </w:tcPr>
          <w:p w14:paraId="1B06AA5D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  <w:gridSpan w:val="2"/>
          </w:tcPr>
          <w:p w14:paraId="69C277D7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2890" w:type="dxa"/>
            <w:gridSpan w:val="2"/>
          </w:tcPr>
          <w:p w14:paraId="647C6CF0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t xml:space="preserve"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</w:t>
      </w:r>
      <w:r w:rsidRPr="002330EF">
        <w:rPr>
          <w:lang w:eastAsia="ru-RU"/>
        </w:rPr>
        <w:lastRenderedPageBreak/>
        <w:t>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1984"/>
      </w:tblGrid>
      <w:tr w:rsidR="00484F41" w:rsidRPr="0022638A" w14:paraId="158233F8" w14:textId="77777777" w:rsidTr="00705A9F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984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A5588D" w14:paraId="04BEF297" w14:textId="77777777" w:rsidTr="00705A9F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1984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A5588D" w14:paraId="5C3D03A8" w14:textId="77777777" w:rsidTr="00705A9F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1984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705A9F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NoSpacing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424"/>
      </w:tblGrid>
      <w:tr w:rsidR="00484F41" w:rsidRPr="003D13F6" w14:paraId="332942D3" w14:textId="77777777" w:rsidTr="00705A9F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24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A5588D" w14:paraId="4EC2437B" w14:textId="77777777" w:rsidTr="00705A9F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Формирует динамический массив трехмерных объектов и возвращает 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указатель на его интерфейс</w:t>
            </w:r>
          </w:p>
        </w:tc>
      </w:tr>
      <w:tr w:rsidR="00484F41" w:rsidRPr="00A5588D" w14:paraId="664F19FB" w14:textId="77777777" w:rsidTr="00705A9F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424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A5588D" w14:paraId="66E69D78" w14:textId="77777777" w:rsidTr="00705A9F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A5588D" w14:paraId="0508A280" w14:textId="77777777" w:rsidTr="00705A9F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2157CEC" w14:textId="77777777" w:rsidR="0091612E" w:rsidRDefault="00501450" w:rsidP="008918A0">
      <w:pPr>
        <w:pStyle w:val="Heading2"/>
        <w:rPr>
          <w:lang w:val="ru-RU"/>
        </w:rPr>
      </w:pPr>
      <w:r w:rsidRPr="00501450">
        <w:rPr>
          <w:lang w:val="ru-RU"/>
        </w:rPr>
        <w:t>Обзор аналогов</w:t>
      </w: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076591F" w14:textId="77777777" w:rsidR="00523733" w:rsidRPr="000C3686" w:rsidRDefault="00523733" w:rsidP="00523733">
      <w:pPr>
        <w:rPr>
          <w:lang w:val="ru-RU"/>
        </w:rPr>
      </w:pP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 w:rsidRPr="000C3686">
        <w:rPr>
          <w:lang w:val="ru-RU"/>
        </w:rP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57E5AE6B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</w:p>
    <w:p w14:paraId="54AA05D4" w14:textId="3663BCB2" w:rsidR="00CF5FA4" w:rsidRPr="00F30322" w:rsidRDefault="00CF5FA4" w:rsidP="0058232F">
      <w:pPr>
        <w:pStyle w:val="Heading1"/>
        <w:rPr>
          <w:lang w:val="ru-RU"/>
        </w:rPr>
      </w:pPr>
      <w:r w:rsidRPr="00F30322">
        <w:rPr>
          <w:lang w:val="ru-RU"/>
        </w:rPr>
        <w:t>Описание предмета проектирования</w:t>
      </w: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lastRenderedPageBreak/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 w:rsidRPr="00CA2EBF"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ListParagraph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"/>
        <w:widowControl/>
        <w:ind w:firstLine="0"/>
        <w:jc w:val="center"/>
      </w:pPr>
    </w:p>
    <w:p w14:paraId="367D656C" w14:textId="77777777" w:rsidR="008960B0" w:rsidRDefault="00DB363A" w:rsidP="00DB363A">
      <w:pPr>
        <w:pStyle w:val="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"/>
        <w:widowControl/>
        <w:ind w:firstLine="0"/>
        <w:jc w:val="center"/>
      </w:pPr>
    </w:p>
    <w:p w14:paraId="5B6FA7AE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4A6A2308" w14:textId="1A6CAFBD" w:rsidR="00D860DB" w:rsidRPr="00F1739A" w:rsidRDefault="00AE4E7A" w:rsidP="00EE62E7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64CEB8BB" w14:textId="77777777" w:rsidR="00CA2EBF" w:rsidRDefault="00A775E9" w:rsidP="00A775E9">
      <w:pPr>
        <w:pStyle w:val="Heading1"/>
        <w:rPr>
          <w:lang w:val="ru-RU"/>
        </w:rPr>
      </w:pPr>
      <w:r>
        <w:rPr>
          <w:lang w:val="ru-RU"/>
        </w:rPr>
        <w:t>Проект программы</w:t>
      </w:r>
    </w:p>
    <w:p w14:paraId="16C272EA" w14:textId="77777777" w:rsidR="00AA41F5" w:rsidRDefault="00AA41F5" w:rsidP="00AA41F5">
      <w:pPr>
        <w:pStyle w:val="Heading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77AC3093" w:rsidR="0087546B" w:rsidRPr="006451FC" w:rsidRDefault="0000590D" w:rsidP="006451FC">
      <w:pPr>
        <w:rPr>
          <w:rFonts w:cs="Times New Roman"/>
          <w:szCs w:val="28"/>
          <w:lang w:val="ru-RU"/>
        </w:rPr>
      </w:pPr>
      <w:r w:rsidRPr="009C2500">
        <w:t>UML</w:t>
      </w:r>
      <w:r w:rsidRPr="0000590D">
        <w:rPr>
          <w:lang w:val="ru-RU"/>
        </w:rPr>
        <w:t xml:space="preserve"> язык графического описания для объектного моделирования в области разработки программного обеспечения. </w:t>
      </w:r>
      <w:r w:rsidRPr="009C2500">
        <w:t>UML</w:t>
      </w:r>
      <w:r w:rsidRPr="0000590D">
        <w:rPr>
          <w:lang w:val="ru-RU"/>
        </w:rPr>
        <w:t xml:space="preserve"> 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 w:rsidRPr="009C2500">
        <w:t>UML</w:t>
      </w:r>
      <w:r w:rsidRPr="0000590D">
        <w:rPr>
          <w:lang w:val="ru-RU"/>
        </w:rPr>
        <w:t xml:space="preserve"> – моделью. </w:t>
      </w:r>
      <w:r w:rsidRPr="009C2500">
        <w:t>UML</w:t>
      </w:r>
      <w:r w:rsidRPr="0000590D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 </w:t>
      </w:r>
      <w:r w:rsidRPr="009C2500">
        <w:t>UML</w:t>
      </w:r>
      <w:r w:rsidRPr="0000590D">
        <w:rPr>
          <w:lang w:val="ru-RU"/>
        </w:rPr>
        <w:t xml:space="preserve"> не является языком программирования, но на основании </w:t>
      </w:r>
      <w:r w:rsidRPr="009C2500">
        <w:t>UML</w:t>
      </w:r>
      <w:r w:rsidRPr="0000590D">
        <w:rPr>
          <w:lang w:val="ru-RU"/>
        </w:rPr>
        <w:t xml:space="preserve"> возможна генерация кода и наоборот.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7A4C1EBA" w14:textId="468F9F00" w:rsidR="00C66B9F" w:rsidRDefault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5543B344" w14:textId="77777777" w:rsidR="00AA41F5" w:rsidRDefault="004D14DC" w:rsidP="004D14DC">
      <w:pPr>
        <w:pStyle w:val="Heading2"/>
        <w:rPr>
          <w:lang w:val="ru-RU"/>
        </w:rPr>
      </w:pPr>
      <w:r w:rsidRPr="004D14DC">
        <w:rPr>
          <w:lang w:val="ru-RU"/>
        </w:rPr>
        <w:t>Диаграмма классов</w:t>
      </w:r>
    </w:p>
    <w:p w14:paraId="57D7D857" w14:textId="12CAAAF3" w:rsidR="004D14DC" w:rsidRPr="00B07590" w:rsidRDefault="003B5698" w:rsidP="004D14D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 xml:space="preserve">бенности </w:t>
      </w:r>
      <w:r w:rsidRPr="00C46B6A">
        <w:rPr>
          <w:lang w:val="ru-RU"/>
        </w:rPr>
        <w:lastRenderedPageBreak/>
        <w:t>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[6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D748ECD" w:rsidR="00602BB0" w:rsidRDefault="00907069" w:rsidP="00D738F2">
      <w:pPr>
        <w:ind w:firstLine="0"/>
        <w:jc w:val="center"/>
        <w:rPr>
          <w:lang w:val="ru-RU"/>
        </w:rPr>
      </w:pPr>
      <w:r w:rsidRPr="00907069">
        <w:rPr>
          <w:noProof/>
          <w:lang w:val="ru-RU" w:eastAsia="ru-RU"/>
        </w:rPr>
        <w:t xml:space="preserve"> </w:t>
      </w:r>
      <w:r w:rsidR="006536C7">
        <w:rPr>
          <w:noProof/>
          <w:lang w:val="ru-RU" w:eastAsia="ru-RU"/>
        </w:rPr>
        <w:drawing>
          <wp:inline distT="0" distB="0" distL="0" distR="0" wp14:anchorId="0B973654" wp14:editId="7171BA03">
            <wp:extent cx="5940425" cy="4043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76BD7DE2" w14:textId="1DCBBA38" w:rsidR="00F16389" w:rsidRDefault="005A0104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</w:t>
      </w:r>
      <w:r w:rsidR="00A145AA">
        <w:rPr>
          <w:lang w:val="ru-RU"/>
        </w:rPr>
        <w:t>nForm</w:t>
      </w:r>
      <w:proofErr w:type="spellEnd"/>
      <w:r w:rsidR="00A145AA">
        <w:rPr>
          <w:lang w:val="ru-RU"/>
        </w:rPr>
        <w:t xml:space="preserve">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r>
        <w:t>Kompas</w:t>
      </w:r>
      <w:proofErr w:type="spellStart"/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</w:p>
    <w:p w14:paraId="4F2F7A9B" w14:textId="76197C17" w:rsidR="00901B97" w:rsidRPr="00F1739A" w:rsidRDefault="00901B97" w:rsidP="007B5D3A">
      <w:pPr>
        <w:pStyle w:val="Heading2"/>
        <w:rPr>
          <w:lang w:val="ru-RU"/>
        </w:rPr>
      </w:pPr>
      <w:r w:rsidRPr="00F1739A">
        <w:rPr>
          <w:lang w:val="ru-RU"/>
        </w:rPr>
        <w:t>Макет пользовательского интерфейса</w:t>
      </w:r>
    </w:p>
    <w:p w14:paraId="6B7F6579" w14:textId="47FFE130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r w:rsidR="00443992">
        <w:rPr>
          <w:rFonts w:cs="Times New Roman"/>
          <w:szCs w:val="28"/>
          <w:lang w:val="ru-RU"/>
        </w:rPr>
        <w:t>поле для ввода</w:t>
      </w:r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lastRenderedPageBreak/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D80ECB" w:rsidP="008F62AB">
      <w:pPr>
        <w:ind w:firstLine="0"/>
        <w:jc w:val="center"/>
        <w:rPr>
          <w:lang w:val="ru-RU"/>
        </w:rPr>
      </w:pPr>
      <w:r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4553793A" w:rsidR="00165CC8" w:rsidRPr="00245A16" w:rsidRDefault="00263B99" w:rsidP="00263B99">
      <w:pPr>
        <w:pStyle w:val="ListParagraph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САПР </w:t>
      </w:r>
      <w:r w:rsidR="00165CC8" w:rsidRPr="00722856">
        <w:rPr>
          <w:rFonts w:cs="Times New Roman"/>
          <w:szCs w:val="28"/>
          <w:lang w:val="ru-RU"/>
        </w:rPr>
        <w:t xml:space="preserve">[Электронный ресурс]. </w:t>
      </w:r>
      <w:r w:rsidR="00165CC8">
        <w:rPr>
          <w:rFonts w:cs="Times New Roman"/>
          <w:szCs w:val="28"/>
          <w:lang w:val="ru-RU"/>
        </w:rPr>
        <w:t>–</w:t>
      </w:r>
      <w:r w:rsidR="00165CC8" w:rsidRPr="00722856">
        <w:rPr>
          <w:rFonts w:cs="Times New Roman"/>
          <w:szCs w:val="28"/>
          <w:lang w:val="ru-RU"/>
        </w:rPr>
        <w:t xml:space="preserve"> Режим доступа: </w:t>
      </w:r>
      <w:hyperlink r:id="rId15" w:history="1">
        <w:r w:rsidR="00661583" w:rsidRPr="00CD7C55">
          <w:rPr>
            <w:rStyle w:val="Hyperlink"/>
            <w:rFonts w:cs="Times New Roman"/>
            <w:szCs w:val="28"/>
            <w:lang w:val="ru-RU"/>
          </w:rPr>
          <w:t>https://www.autodesk.ru/solutions/cad-software</w:t>
        </w:r>
      </w:hyperlink>
      <w:r w:rsidR="00165CC8" w:rsidRPr="00087D36">
        <w:rPr>
          <w:rFonts w:cs="Times New Roman"/>
          <w:szCs w:val="28"/>
          <w:lang w:val="ru-RU"/>
        </w:rPr>
        <w:t xml:space="preserve"> </w:t>
      </w:r>
      <w:r w:rsidR="00165CC8" w:rsidRPr="00722856">
        <w:rPr>
          <w:rFonts w:cs="Times New Roman"/>
          <w:szCs w:val="28"/>
          <w:lang w:val="ru-RU"/>
        </w:rPr>
        <w:t xml:space="preserve">(дата обращения </w:t>
      </w:r>
      <w:r w:rsidR="00646AD4">
        <w:rPr>
          <w:rFonts w:cs="Times New Roman"/>
          <w:szCs w:val="28"/>
          <w:lang w:val="ru-RU"/>
        </w:rPr>
        <w:t>17</w:t>
      </w:r>
      <w:r w:rsidR="00165CC8" w:rsidRPr="00722856">
        <w:rPr>
          <w:rFonts w:cs="Times New Roman"/>
          <w:szCs w:val="28"/>
          <w:lang w:val="ru-RU"/>
        </w:rPr>
        <w:t>.</w:t>
      </w:r>
      <w:r w:rsidR="00646AD4">
        <w:rPr>
          <w:rFonts w:cs="Times New Roman"/>
          <w:szCs w:val="28"/>
          <w:lang w:val="ru-RU"/>
        </w:rPr>
        <w:t>11</w:t>
      </w:r>
      <w:r w:rsidR="00165CC8" w:rsidRPr="00722856">
        <w:rPr>
          <w:rFonts w:cs="Times New Roman"/>
          <w:szCs w:val="28"/>
          <w:lang w:val="ru-RU"/>
        </w:rPr>
        <w:t>.202</w:t>
      </w:r>
      <w:r w:rsidR="00165CC8">
        <w:rPr>
          <w:rFonts w:cs="Times New Roman"/>
          <w:szCs w:val="28"/>
          <w:lang w:val="ru-RU"/>
        </w:rPr>
        <w:t>1</w:t>
      </w:r>
      <w:r w:rsidR="00165CC8"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07C592D4" w:rsidR="00165CC8" w:rsidRDefault="00245A16" w:rsidP="00900CB7">
      <w:pPr>
        <w:pStyle w:val="ListParagraph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Компас (САПР) </w:t>
      </w:r>
      <w:r w:rsidRPr="00245A16">
        <w:rPr>
          <w:color w:val="000000" w:themeColor="text1"/>
          <w:szCs w:val="28"/>
          <w:lang w:val="ru-RU"/>
        </w:rPr>
        <w:t>[</w:t>
      </w:r>
      <w:r w:rsidRPr="00510EAA">
        <w:rPr>
          <w:lang w:val="ru-RU"/>
        </w:rPr>
        <w:t>Электронный ресурс</w:t>
      </w:r>
      <w:r w:rsidRPr="00245A16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softHyphen/>
        <w:t xml:space="preserve">– Режим доступа: </w:t>
      </w:r>
      <w:hyperlink r:id="rId16" w:history="1">
        <w:r w:rsidRPr="00CD7C55">
          <w:rPr>
            <w:rStyle w:val="Hyperlink"/>
            <w:szCs w:val="28"/>
            <w:lang w:val="ru-RU"/>
          </w:rPr>
          <w:t>https://kompas.ru/kompas-3d-viewer/download/</w:t>
        </w:r>
      </w:hyperlink>
      <w:r>
        <w:rPr>
          <w:color w:val="000000" w:themeColor="text1"/>
          <w:szCs w:val="28"/>
          <w:lang w:val="ru-RU"/>
        </w:rPr>
        <w:t xml:space="preserve"> (дата обращения 17.11.2021)</w:t>
      </w:r>
      <w:r w:rsidR="00900CB7">
        <w:rPr>
          <w:color w:val="000000" w:themeColor="text1"/>
          <w:szCs w:val="28"/>
          <w:lang w:val="ru-RU"/>
        </w:rPr>
        <w:t xml:space="preserve"> </w:t>
      </w:r>
    </w:p>
    <w:p w14:paraId="5A021391" w14:textId="77777777" w:rsidR="00510EAA" w:rsidRPr="00523733" w:rsidRDefault="00510EAA" w:rsidP="00510EAA">
      <w:pPr>
        <w:pStyle w:val="ListParagraph"/>
        <w:numPr>
          <w:ilvl w:val="0"/>
          <w:numId w:val="18"/>
        </w:numPr>
        <w:rPr>
          <w:rStyle w:val="Hyperlink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7" w:history="1">
        <w:r w:rsidRPr="003E1A07">
          <w:rPr>
            <w:rStyle w:val="Hyperlink"/>
            <w:color w:val="4472C4" w:themeColor="accent1"/>
            <w:szCs w:val="28"/>
          </w:rPr>
          <w:t>http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://</w:t>
        </w:r>
        <w:r w:rsidRPr="003E1A07">
          <w:rPr>
            <w:rStyle w:val="Hyperlink"/>
            <w:color w:val="4472C4" w:themeColor="accent1"/>
            <w:szCs w:val="28"/>
          </w:rPr>
          <w:t>www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.</w:t>
        </w:r>
        <w:r w:rsidRPr="003E1A07">
          <w:rPr>
            <w:rStyle w:val="Hyperlink"/>
            <w:color w:val="4472C4" w:themeColor="accent1"/>
            <w:szCs w:val="28"/>
          </w:rPr>
          <w:t>k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2</w:t>
        </w:r>
        <w:r w:rsidRPr="003E1A07">
          <w:rPr>
            <w:rStyle w:val="Hyperlink"/>
            <w:color w:val="4472C4" w:themeColor="accent1"/>
            <w:szCs w:val="28"/>
          </w:rPr>
          <w:t>x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2.</w:t>
        </w:r>
        <w:r w:rsidRPr="003E1A07">
          <w:rPr>
            <w:rStyle w:val="Hyperlink"/>
            <w:color w:val="4472C4" w:themeColor="accent1"/>
            <w:szCs w:val="28"/>
          </w:rPr>
          <w:t>info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kompyutery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i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r w:rsidRPr="003E1A07">
          <w:rPr>
            <w:rStyle w:val="Hyperlink"/>
            <w:color w:val="4472C4" w:themeColor="accent1"/>
            <w:szCs w:val="28"/>
          </w:rPr>
          <w:t>internet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kompas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_3</w:t>
        </w:r>
        <w:r w:rsidRPr="003E1A07">
          <w:rPr>
            <w:rStyle w:val="Hyperlink"/>
            <w:color w:val="4472C4" w:themeColor="accent1"/>
            <w:szCs w:val="28"/>
          </w:rPr>
          <w:t>d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r w:rsidRPr="003E1A07">
          <w:rPr>
            <w:rStyle w:val="Hyperlink"/>
            <w:color w:val="4472C4" w:themeColor="accent1"/>
            <w:szCs w:val="28"/>
          </w:rPr>
          <w:t>v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10_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na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_100/</w:t>
        </w:r>
        <w:r w:rsidRPr="003E1A07">
          <w:rPr>
            <w:rStyle w:val="Hyperlink"/>
            <w:color w:val="4472C4" w:themeColor="accent1"/>
            <w:szCs w:val="28"/>
          </w:rPr>
          <w:t>p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9.</w:t>
        </w:r>
        <w:r w:rsidRPr="003E1A07">
          <w:rPr>
            <w:rStyle w:val="Hyperlink"/>
            <w:color w:val="4472C4" w:themeColor="accent1"/>
            <w:szCs w:val="28"/>
          </w:rPr>
          <w:t>php</w:t>
        </w:r>
      </w:hyperlink>
      <w:r w:rsidRPr="00510EAA">
        <w:rPr>
          <w:rStyle w:val="Hyperlink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ListParagraph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8" w:history="1">
        <w:r w:rsidRPr="003E1A07">
          <w:rPr>
            <w:rStyle w:val="Hyperlink"/>
            <w:color w:val="4472C4" w:themeColor="accent1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63BEA772" w14:textId="3DC38715" w:rsidR="00DE6571" w:rsidRPr="00DE6571" w:rsidRDefault="00EF0716" w:rsidP="003B5698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  <w:r w:rsidR="003B5698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691D" w14:textId="77777777" w:rsidR="004F5643" w:rsidRDefault="004F5643" w:rsidP="00135307">
      <w:pPr>
        <w:spacing w:line="240" w:lineRule="auto"/>
      </w:pPr>
      <w:r>
        <w:separator/>
      </w:r>
    </w:p>
  </w:endnote>
  <w:endnote w:type="continuationSeparator" w:id="0">
    <w:p w14:paraId="36B8DDEB" w14:textId="77777777" w:rsidR="004F5643" w:rsidRDefault="004F5643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8BAE" w14:textId="77777777" w:rsidR="00135307" w:rsidRPr="00135307" w:rsidRDefault="00135307" w:rsidP="00135307">
    <w:pPr>
      <w:pStyle w:val="Footer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431B" w14:textId="77777777" w:rsidR="004F5643" w:rsidRDefault="004F5643" w:rsidP="00135307">
      <w:pPr>
        <w:spacing w:line="240" w:lineRule="auto"/>
      </w:pPr>
      <w:r>
        <w:separator/>
      </w:r>
    </w:p>
  </w:footnote>
  <w:footnote w:type="continuationSeparator" w:id="0">
    <w:p w14:paraId="0F2C1D89" w14:textId="77777777" w:rsidR="004F5643" w:rsidRDefault="004F5643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4A02ADEB" w:rsidR="00C7174A" w:rsidRDefault="00C7174A" w:rsidP="00C7174A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FB" w:rsidRPr="00005CFB">
          <w:rPr>
            <w:noProof/>
            <w:lang w:val="ru-RU"/>
          </w:rPr>
          <w:t>13</w:t>
        </w:r>
        <w:r>
          <w:fldChar w:fldCharType="end"/>
        </w:r>
      </w:p>
    </w:sdtContent>
  </w:sdt>
  <w:p w14:paraId="633571F1" w14:textId="77777777" w:rsidR="00C7174A" w:rsidRDefault="00C7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79"/>
    <w:rsid w:val="00004D79"/>
    <w:rsid w:val="0000590D"/>
    <w:rsid w:val="00005CFB"/>
    <w:rsid w:val="00020EC4"/>
    <w:rsid w:val="00023FD6"/>
    <w:rsid w:val="0002598C"/>
    <w:rsid w:val="00027C1B"/>
    <w:rsid w:val="000332A8"/>
    <w:rsid w:val="00044134"/>
    <w:rsid w:val="000669B9"/>
    <w:rsid w:val="00081AEE"/>
    <w:rsid w:val="00087D36"/>
    <w:rsid w:val="000B0F09"/>
    <w:rsid w:val="000C3686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1D6100"/>
    <w:rsid w:val="00207F57"/>
    <w:rsid w:val="00231525"/>
    <w:rsid w:val="00236CFD"/>
    <w:rsid w:val="00245A16"/>
    <w:rsid w:val="0026383F"/>
    <w:rsid w:val="00263B99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B057B"/>
    <w:rsid w:val="003B5698"/>
    <w:rsid w:val="003E1A07"/>
    <w:rsid w:val="003F4B9E"/>
    <w:rsid w:val="00415679"/>
    <w:rsid w:val="00416086"/>
    <w:rsid w:val="004311C9"/>
    <w:rsid w:val="00431794"/>
    <w:rsid w:val="00435600"/>
    <w:rsid w:val="00443992"/>
    <w:rsid w:val="004533A7"/>
    <w:rsid w:val="004611E6"/>
    <w:rsid w:val="00484F41"/>
    <w:rsid w:val="004B6D1A"/>
    <w:rsid w:val="004D14DC"/>
    <w:rsid w:val="004F5643"/>
    <w:rsid w:val="00501450"/>
    <w:rsid w:val="00510EAA"/>
    <w:rsid w:val="00523712"/>
    <w:rsid w:val="00523733"/>
    <w:rsid w:val="00531971"/>
    <w:rsid w:val="00534A68"/>
    <w:rsid w:val="005455AD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46AD4"/>
    <w:rsid w:val="006536C7"/>
    <w:rsid w:val="00655166"/>
    <w:rsid w:val="00661583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05A9F"/>
    <w:rsid w:val="00742C5D"/>
    <w:rsid w:val="00744FAE"/>
    <w:rsid w:val="00755DC3"/>
    <w:rsid w:val="007C73A2"/>
    <w:rsid w:val="007D2A1D"/>
    <w:rsid w:val="007D6195"/>
    <w:rsid w:val="007E6A4C"/>
    <w:rsid w:val="007F50D3"/>
    <w:rsid w:val="00820D03"/>
    <w:rsid w:val="00861F01"/>
    <w:rsid w:val="0087546B"/>
    <w:rsid w:val="008960B0"/>
    <w:rsid w:val="008A2177"/>
    <w:rsid w:val="008B506B"/>
    <w:rsid w:val="008C20AC"/>
    <w:rsid w:val="008E55D5"/>
    <w:rsid w:val="008F62AB"/>
    <w:rsid w:val="00900CB7"/>
    <w:rsid w:val="00901B97"/>
    <w:rsid w:val="009052FC"/>
    <w:rsid w:val="00907069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5588D"/>
    <w:rsid w:val="00A660AB"/>
    <w:rsid w:val="00A775E9"/>
    <w:rsid w:val="00A9009D"/>
    <w:rsid w:val="00A9490D"/>
    <w:rsid w:val="00AA25DF"/>
    <w:rsid w:val="00AA419C"/>
    <w:rsid w:val="00AA41F5"/>
    <w:rsid w:val="00AB67B1"/>
    <w:rsid w:val="00AD67B6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1739A"/>
    <w:rsid w:val="00F30322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79"/>
    <w:rPr>
      <w:rFonts w:eastAsia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NormalWeb">
    <w:name w:val="Normal (Web)"/>
    <w:basedOn w:val="Normal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35307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A2EBF"/>
    <w:pPr>
      <w:ind w:left="720"/>
      <w:contextualSpacing/>
    </w:pPr>
  </w:style>
  <w:style w:type="paragraph" w:customStyle="1" w:styleId="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NoSpacing">
    <w:name w:val="No Spacing"/>
    <w:uiPriority w:val="1"/>
    <w:qFormat/>
    <w:rsid w:val="00484F41"/>
    <w:rPr>
      <w:rFonts w:cstheme="minorBidi"/>
    </w:rPr>
  </w:style>
  <w:style w:type="table" w:styleId="TableGrid">
    <w:name w:val="Table Grid"/>
    <w:basedOn w:val="TableNormal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61371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vmasshtabe.ru/mashinostroenie-i-mehanika/tm/razrabotka-tehnologicheskogo-protsessa-detali-kryishka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-viewer/download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utodesk.ru/solutions/cad-software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1666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149</cp:revision>
  <dcterms:created xsi:type="dcterms:W3CDTF">2021-10-31T12:18:00Z</dcterms:created>
  <dcterms:modified xsi:type="dcterms:W3CDTF">2021-11-17T12:29:00Z</dcterms:modified>
</cp:coreProperties>
</file>