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Experiment </w:t>
      </w:r>
      <w:r>
        <w:rPr>
          <w:spacing w:val="-10"/>
        </w:rPr>
        <w:t>5</w:t>
      </w:r>
    </w:p>
    <w:p>
      <w:pPr>
        <w:pStyle w:val="Heading3"/>
        <w:spacing w:line="271" w:lineRule="auto" w:before="210"/>
        <w:ind w:left="480" w:right="111" w:firstLine="0"/>
        <w:jc w:val="left"/>
      </w:pPr>
      <w:r>
        <w:rPr/>
        <w:t>Aim:</w:t>
      </w:r>
      <w:r>
        <w:rPr>
          <w:spacing w:val="40"/>
        </w:rPr>
        <w:t> </w:t>
      </w:r>
      <w:r>
        <w:rPr/>
        <w:t>To</w:t>
      </w:r>
      <w:r>
        <w:rPr>
          <w:spacing w:val="40"/>
        </w:rPr>
        <w:t> </w:t>
      </w:r>
      <w:r>
        <w:rPr/>
        <w:t>apply</w:t>
      </w:r>
      <w:r>
        <w:rPr>
          <w:spacing w:val="40"/>
        </w:rPr>
        <w:t> </w:t>
      </w:r>
      <w:r>
        <w:rPr/>
        <w:t>explainable</w:t>
      </w:r>
      <w:r>
        <w:rPr>
          <w:spacing w:val="40"/>
        </w:rPr>
        <w:t> </w:t>
      </w:r>
      <w:r>
        <w:rPr/>
        <w:t>AI</w:t>
      </w:r>
      <w:r>
        <w:rPr>
          <w:spacing w:val="40"/>
        </w:rPr>
        <w:t> </w:t>
      </w:r>
      <w:r>
        <w:rPr/>
        <w:t>(XAI)</w:t>
      </w:r>
      <w:r>
        <w:rPr>
          <w:spacing w:val="40"/>
        </w:rPr>
        <w:t> </w:t>
      </w:r>
      <w:r>
        <w:rPr/>
        <w:t>methods</w:t>
      </w:r>
      <w:r>
        <w:rPr>
          <w:spacing w:val="40"/>
        </w:rPr>
        <w:t> </w:t>
      </w:r>
      <w:r>
        <w:rPr/>
        <w:t>(SHAP</w:t>
      </w:r>
      <w:r>
        <w:rPr>
          <w:spacing w:val="40"/>
        </w:rPr>
        <w:t> </w:t>
      </w:r>
      <w:r>
        <w:rPr/>
        <w:t>&amp;</w:t>
      </w:r>
      <w:r>
        <w:rPr>
          <w:spacing w:val="40"/>
        </w:rPr>
        <w:t> </w:t>
      </w:r>
      <w:r>
        <w:rPr/>
        <w:t>LIME)</w:t>
      </w:r>
      <w:r>
        <w:rPr>
          <w:spacing w:val="40"/>
        </w:rPr>
        <w:t> </w:t>
      </w:r>
      <w:r>
        <w:rPr/>
        <w:t>for</w:t>
      </w:r>
      <w:r>
        <w:rPr>
          <w:spacing w:val="40"/>
        </w:rPr>
        <w:t> </w:t>
      </w:r>
      <w:r>
        <w:rPr/>
        <w:t>interpreting</w:t>
      </w:r>
      <w:r>
        <w:rPr>
          <w:spacing w:val="40"/>
        </w:rPr>
        <w:t> </w:t>
      </w:r>
      <w:r>
        <w:rPr/>
        <w:t>model predictions and evaluate fairness using Fairlearn.</w:t>
      </w:r>
    </w:p>
    <w:p>
      <w:pPr>
        <w:spacing w:line="264" w:lineRule="auto" w:before="120"/>
        <w:ind w:left="480" w:right="211" w:firstLine="0"/>
        <w:jc w:val="left"/>
        <w:rPr>
          <w:sz w:val="19"/>
        </w:rPr>
      </w:pPr>
      <w:r>
        <w:rPr>
          <w:color w:val="333333"/>
          <w:sz w:val="19"/>
        </w:rPr>
        <w:t>Project:</w:t>
      </w:r>
      <w:r>
        <w:rPr>
          <w:color w:val="333333"/>
          <w:spacing w:val="-3"/>
          <w:sz w:val="19"/>
        </w:rPr>
        <w:t> </w:t>
      </w:r>
      <w:r>
        <w:rPr>
          <w:color w:val="333333"/>
          <w:sz w:val="19"/>
        </w:rPr>
        <w:t>Explainable</w:t>
      </w:r>
      <w:r>
        <w:rPr>
          <w:color w:val="333333"/>
          <w:spacing w:val="-3"/>
          <w:sz w:val="19"/>
        </w:rPr>
        <w:t> </w:t>
      </w:r>
      <w:r>
        <w:rPr>
          <w:color w:val="333333"/>
          <w:sz w:val="19"/>
        </w:rPr>
        <w:t>Machine</w:t>
      </w:r>
      <w:r>
        <w:rPr>
          <w:color w:val="333333"/>
          <w:spacing w:val="-3"/>
          <w:sz w:val="19"/>
        </w:rPr>
        <w:t> </w:t>
      </w:r>
      <w:r>
        <w:rPr>
          <w:color w:val="333333"/>
          <w:sz w:val="19"/>
        </w:rPr>
        <w:t>Learning</w:t>
      </w:r>
      <w:r>
        <w:rPr>
          <w:color w:val="333333"/>
          <w:spacing w:val="-3"/>
          <w:sz w:val="19"/>
        </w:rPr>
        <w:t> </w:t>
      </w:r>
      <w:r>
        <w:rPr>
          <w:color w:val="333333"/>
          <w:sz w:val="19"/>
        </w:rPr>
        <w:t>System</w:t>
      </w:r>
      <w:r>
        <w:rPr>
          <w:color w:val="333333"/>
          <w:spacing w:val="-3"/>
          <w:sz w:val="19"/>
        </w:rPr>
        <w:t> </w:t>
      </w:r>
      <w:r>
        <w:rPr>
          <w:color w:val="333333"/>
          <w:sz w:val="19"/>
        </w:rPr>
        <w:t>for</w:t>
      </w:r>
      <w:r>
        <w:rPr>
          <w:color w:val="333333"/>
          <w:spacing w:val="-3"/>
          <w:sz w:val="19"/>
        </w:rPr>
        <w:t> </w:t>
      </w:r>
      <w:r>
        <w:rPr>
          <w:color w:val="333333"/>
          <w:sz w:val="19"/>
        </w:rPr>
        <w:t>Airbnb</w:t>
      </w:r>
      <w:r>
        <w:rPr>
          <w:color w:val="333333"/>
          <w:spacing w:val="-3"/>
          <w:sz w:val="19"/>
        </w:rPr>
        <w:t> </w:t>
      </w:r>
      <w:r>
        <w:rPr>
          <w:color w:val="333333"/>
          <w:sz w:val="19"/>
        </w:rPr>
        <w:t>Listing</w:t>
      </w:r>
      <w:r>
        <w:rPr>
          <w:color w:val="333333"/>
          <w:spacing w:val="-3"/>
          <w:sz w:val="19"/>
        </w:rPr>
        <w:t> </w:t>
      </w:r>
      <w:r>
        <w:rPr>
          <w:color w:val="333333"/>
          <w:sz w:val="19"/>
        </w:rPr>
        <w:t>Price</w:t>
      </w:r>
      <w:r>
        <w:rPr>
          <w:color w:val="333333"/>
          <w:spacing w:val="-3"/>
          <w:sz w:val="19"/>
        </w:rPr>
        <w:t> </w:t>
      </w:r>
      <w:r>
        <w:rPr>
          <w:color w:val="333333"/>
          <w:sz w:val="19"/>
        </w:rPr>
        <w:t>Prediction</w:t>
      </w:r>
      <w:r>
        <w:rPr>
          <w:color w:val="333333"/>
          <w:spacing w:val="-3"/>
          <w:sz w:val="19"/>
        </w:rPr>
        <w:t> </w:t>
      </w:r>
      <w:r>
        <w:rPr>
          <w:color w:val="333333"/>
          <w:sz w:val="19"/>
        </w:rPr>
        <w:t>and</w:t>
      </w:r>
      <w:r>
        <w:rPr>
          <w:color w:val="333333"/>
          <w:spacing w:val="-3"/>
          <w:sz w:val="19"/>
        </w:rPr>
        <w:t> </w:t>
      </w:r>
      <w:r>
        <w:rPr>
          <w:color w:val="333333"/>
          <w:sz w:val="19"/>
        </w:rPr>
        <w:t>Fair</w:t>
      </w:r>
      <w:r>
        <w:rPr>
          <w:color w:val="333333"/>
          <w:spacing w:val="-3"/>
          <w:sz w:val="19"/>
        </w:rPr>
        <w:t> </w:t>
      </w:r>
      <w:r>
        <w:rPr>
          <w:color w:val="333333"/>
          <w:sz w:val="19"/>
        </w:rPr>
        <w:t>Pricing</w:t>
      </w:r>
      <w:r>
        <w:rPr>
          <w:color w:val="333333"/>
          <w:spacing w:val="-3"/>
          <w:sz w:val="19"/>
        </w:rPr>
        <w:t> </w:t>
      </w:r>
      <w:r>
        <w:rPr>
          <w:color w:val="333333"/>
          <w:sz w:val="19"/>
        </w:rPr>
        <w:t>Analysis</w:t>
      </w:r>
      <w:r>
        <w:rPr>
          <w:color w:val="333333"/>
          <w:spacing w:val="-3"/>
          <w:sz w:val="19"/>
        </w:rPr>
        <w:t> </w:t>
      </w:r>
      <w:r>
        <w:rPr>
          <w:color w:val="333333"/>
          <w:sz w:val="19"/>
        </w:rPr>
        <w:t>(Inside Airbnb, Albany, New York). GitHub: github.com/CloudyPatil/ADS-Airbnb-Price-Prediction. Colab notebook: </w:t>
      </w:r>
      <w:r>
        <w:rPr>
          <w:color w:val="333333"/>
          <w:spacing w:val="-2"/>
          <w:sz w:val="19"/>
        </w:rPr>
        <w:t>ADS_Exp5_XAI_SHAP_LIME_Fairness.ipynb.</w:t>
      </w:r>
    </w:p>
    <w:p>
      <w:pPr>
        <w:pStyle w:val="BodyText"/>
        <w:spacing w:before="25"/>
        <w:ind w:left="0" w:right="0"/>
        <w:rPr>
          <w:sz w:val="19"/>
        </w:rPr>
      </w:pPr>
    </w:p>
    <w:p>
      <w:pPr>
        <w:pStyle w:val="Heading2"/>
      </w:pPr>
      <w:r>
        <w:rPr>
          <w:spacing w:val="-2"/>
        </w:rPr>
        <w:t>Objective</w:t>
      </w:r>
    </w:p>
    <w:p>
      <w:pPr>
        <w:pStyle w:val="ListParagraph"/>
        <w:numPr>
          <w:ilvl w:val="0"/>
          <w:numId w:val="1"/>
        </w:numPr>
        <w:tabs>
          <w:tab w:pos="760" w:val="left" w:leader="none"/>
        </w:tabs>
        <w:spacing w:line="276" w:lineRule="auto" w:before="137" w:after="0"/>
        <w:ind w:left="760" w:right="479" w:hanging="320"/>
        <w:jc w:val="left"/>
        <w:rPr>
          <w:sz w:val="22"/>
        </w:rPr>
      </w:pPr>
      <w:r>
        <w:rPr>
          <w:sz w:val="22"/>
        </w:rPr>
        <w:t>Generate </w:t>
      </w:r>
      <w:r>
        <w:rPr>
          <w:b/>
          <w:sz w:val="22"/>
        </w:rPr>
        <w:t>global </w:t>
      </w:r>
      <w:r>
        <w:rPr>
          <w:sz w:val="22"/>
        </w:rPr>
        <w:t>(SHAP feature importance) and </w:t>
      </w:r>
      <w:r>
        <w:rPr>
          <w:b/>
          <w:sz w:val="22"/>
        </w:rPr>
        <w:t>local </w:t>
      </w:r>
      <w:r>
        <w:rPr>
          <w:sz w:val="22"/>
        </w:rPr>
        <w:t>(LIME) explanations of the price model built in Experiment 4.</w:t>
      </w:r>
    </w:p>
    <w:p>
      <w:pPr>
        <w:pStyle w:val="ListParagraph"/>
        <w:numPr>
          <w:ilvl w:val="0"/>
          <w:numId w:val="1"/>
        </w:numPr>
        <w:tabs>
          <w:tab w:pos="760" w:val="left" w:leader="none"/>
        </w:tabs>
        <w:spacing w:line="276" w:lineRule="auto" w:before="117" w:after="0"/>
        <w:ind w:left="760" w:right="479" w:hanging="320"/>
        <w:jc w:val="left"/>
        <w:rPr>
          <w:sz w:val="22"/>
        </w:rPr>
      </w:pPr>
      <w:r>
        <w:rPr>
          <w:sz w:val="22"/>
        </w:rPr>
        <w:t>Audit</w:t>
      </w:r>
      <w:r>
        <w:rPr>
          <w:spacing w:val="-3"/>
          <w:sz w:val="22"/>
        </w:rPr>
        <w:t> </w:t>
      </w:r>
      <w:r>
        <w:rPr>
          <w:sz w:val="22"/>
        </w:rPr>
        <w:t>bias</w:t>
      </w:r>
      <w:r>
        <w:rPr>
          <w:spacing w:val="-3"/>
          <w:sz w:val="22"/>
        </w:rPr>
        <w:t> </w:t>
      </w:r>
      <w:r>
        <w:rPr>
          <w:sz w:val="22"/>
        </w:rPr>
        <w:t>in</w:t>
      </w:r>
      <w:r>
        <w:rPr>
          <w:spacing w:val="-3"/>
          <w:sz w:val="22"/>
        </w:rPr>
        <w:t> </w:t>
      </w:r>
      <w:r>
        <w:rPr>
          <w:sz w:val="22"/>
        </w:rPr>
        <w:t>the</w:t>
      </w:r>
      <w:r>
        <w:rPr>
          <w:spacing w:val="-3"/>
          <w:sz w:val="22"/>
        </w:rPr>
        <w:t> </w:t>
      </w:r>
      <w:r>
        <w:rPr>
          <w:sz w:val="22"/>
        </w:rPr>
        <w:t>model</w:t>
      </w:r>
      <w:r>
        <w:rPr>
          <w:spacing w:val="-3"/>
          <w:sz w:val="22"/>
        </w:rPr>
        <w:t> </w:t>
      </w:r>
      <w:r>
        <w:rPr>
          <w:sz w:val="22"/>
        </w:rPr>
        <w:t>across</w:t>
      </w:r>
      <w:r>
        <w:rPr>
          <w:spacing w:val="-3"/>
          <w:sz w:val="22"/>
        </w:rPr>
        <w:t> </w:t>
      </w:r>
      <w:r>
        <w:rPr>
          <w:sz w:val="22"/>
        </w:rPr>
        <w:t>sensitive</w:t>
      </w:r>
      <w:r>
        <w:rPr>
          <w:spacing w:val="-3"/>
          <w:sz w:val="22"/>
        </w:rPr>
        <w:t> </w:t>
      </w:r>
      <w:r>
        <w:rPr>
          <w:sz w:val="22"/>
        </w:rPr>
        <w:t>groups.</w:t>
      </w:r>
      <w:r>
        <w:rPr>
          <w:spacing w:val="-3"/>
          <w:sz w:val="22"/>
        </w:rPr>
        <w:t> </w:t>
      </w:r>
      <w:r>
        <w:rPr>
          <w:sz w:val="22"/>
        </w:rPr>
        <w:t>Airbnb</w:t>
      </w:r>
      <w:r>
        <w:rPr>
          <w:spacing w:val="-3"/>
          <w:sz w:val="22"/>
        </w:rPr>
        <w:t> </w:t>
      </w:r>
      <w:r>
        <w:rPr>
          <w:sz w:val="22"/>
        </w:rPr>
        <w:t>data</w:t>
      </w:r>
      <w:r>
        <w:rPr>
          <w:spacing w:val="-3"/>
          <w:sz w:val="22"/>
        </w:rPr>
        <w:t> </w:t>
      </w:r>
      <w:r>
        <w:rPr>
          <w:sz w:val="22"/>
        </w:rPr>
        <w:t>has</w:t>
      </w:r>
      <w:r>
        <w:rPr>
          <w:spacing w:val="-3"/>
          <w:sz w:val="22"/>
        </w:rPr>
        <w:t> </w:t>
      </w:r>
      <w:r>
        <w:rPr>
          <w:sz w:val="22"/>
        </w:rPr>
        <w:t>no</w:t>
      </w:r>
      <w:r>
        <w:rPr>
          <w:spacing w:val="-3"/>
          <w:sz w:val="22"/>
        </w:rPr>
        <w:t> </w:t>
      </w:r>
      <w:r>
        <w:rPr>
          <w:sz w:val="22"/>
        </w:rPr>
        <w:t>gender</w:t>
      </w:r>
      <w:r>
        <w:rPr>
          <w:spacing w:val="-3"/>
          <w:sz w:val="22"/>
        </w:rPr>
        <w:t> </w:t>
      </w:r>
      <w:r>
        <w:rPr>
          <w:sz w:val="22"/>
        </w:rPr>
        <w:t>or</w:t>
      </w:r>
      <w:r>
        <w:rPr>
          <w:spacing w:val="-3"/>
          <w:sz w:val="22"/>
        </w:rPr>
        <w:t> </w:t>
      </w:r>
      <w:r>
        <w:rPr>
          <w:sz w:val="22"/>
        </w:rPr>
        <w:t>race,</w:t>
      </w:r>
      <w:r>
        <w:rPr>
          <w:spacing w:val="-3"/>
          <w:sz w:val="22"/>
        </w:rPr>
        <w:t> </w:t>
      </w:r>
      <w:r>
        <w:rPr>
          <w:sz w:val="22"/>
        </w:rPr>
        <w:t>so</w:t>
      </w:r>
      <w:r>
        <w:rPr>
          <w:spacing w:val="-3"/>
          <w:sz w:val="22"/>
        </w:rPr>
        <w:t> </w:t>
      </w:r>
      <w:r>
        <w:rPr>
          <w:sz w:val="22"/>
        </w:rPr>
        <w:t>the</w:t>
      </w:r>
      <w:r>
        <w:rPr>
          <w:spacing w:val="-3"/>
          <w:sz w:val="22"/>
        </w:rPr>
        <w:t> </w:t>
      </w:r>
      <w:r>
        <w:rPr>
          <w:sz w:val="22"/>
        </w:rPr>
        <w:t>groups</w:t>
      </w:r>
      <w:r>
        <w:rPr>
          <w:spacing w:val="-3"/>
          <w:sz w:val="22"/>
        </w:rPr>
        <w:t> </w:t>
      </w:r>
      <w:r>
        <w:rPr>
          <w:sz w:val="22"/>
        </w:rPr>
        <w:t>are the two fairness goals set in Experiment 1: </w:t>
      </w:r>
      <w:r>
        <w:rPr>
          <w:b/>
          <w:sz w:val="22"/>
        </w:rPr>
        <w:t>room type </w:t>
      </w:r>
      <w:r>
        <w:rPr>
          <w:sz w:val="22"/>
        </w:rPr>
        <w:t>and </w:t>
      </w:r>
      <w:r>
        <w:rPr>
          <w:b/>
          <w:sz w:val="22"/>
        </w:rPr>
        <w:t>ward </w:t>
      </w:r>
      <w:r>
        <w:rPr>
          <w:sz w:val="22"/>
        </w:rPr>
        <w:t>(neighbourhood).</w:t>
      </w:r>
    </w:p>
    <w:p>
      <w:pPr>
        <w:pStyle w:val="ListParagraph"/>
        <w:numPr>
          <w:ilvl w:val="0"/>
          <w:numId w:val="1"/>
        </w:numPr>
        <w:tabs>
          <w:tab w:pos="759" w:val="left" w:leader="none"/>
        </w:tabs>
        <w:spacing w:line="240" w:lineRule="auto" w:before="116" w:after="0"/>
        <w:ind w:left="759" w:right="0" w:hanging="319"/>
        <w:jc w:val="left"/>
        <w:rPr>
          <w:sz w:val="22"/>
        </w:rPr>
      </w:pPr>
      <w:r>
        <w:rPr>
          <w:sz w:val="22"/>
        </w:rPr>
        <w:t>Propose and compare fairness mitigation strategies for the bias that is </w:t>
      </w:r>
      <w:r>
        <w:rPr>
          <w:spacing w:val="-2"/>
          <w:sz w:val="22"/>
        </w:rPr>
        <w:t>detected.</w:t>
      </w:r>
    </w:p>
    <w:p>
      <w:pPr>
        <w:pStyle w:val="BodyText"/>
        <w:spacing w:before="27"/>
        <w:ind w:left="0" w:right="0"/>
      </w:pPr>
    </w:p>
    <w:p>
      <w:pPr>
        <w:pStyle w:val="Heading2"/>
      </w:pPr>
      <w:r>
        <w:rPr/>
        <w:t>Detailed </w:t>
      </w:r>
      <w:r>
        <w:rPr>
          <w:spacing w:val="-2"/>
        </w:rPr>
        <w:t>Steps</w:t>
      </w:r>
    </w:p>
    <w:p>
      <w:pPr>
        <w:pStyle w:val="Heading3"/>
        <w:numPr>
          <w:ilvl w:val="0"/>
          <w:numId w:val="2"/>
        </w:numPr>
        <w:tabs>
          <w:tab w:pos="710" w:val="left" w:leader="none"/>
        </w:tabs>
        <w:spacing w:line="240" w:lineRule="auto" w:before="179" w:after="0"/>
        <w:ind w:left="710" w:right="0" w:hanging="230"/>
        <w:jc w:val="both"/>
      </w:pPr>
      <w:r>
        <w:rPr/>
        <w:t>Dataset &amp; Model </w:t>
      </w:r>
      <w:r>
        <w:rPr>
          <w:spacing w:val="-2"/>
        </w:rPr>
        <w:t>Selection</w:t>
      </w:r>
    </w:p>
    <w:p>
      <w:pPr>
        <w:pStyle w:val="ListParagraph"/>
        <w:numPr>
          <w:ilvl w:val="1"/>
          <w:numId w:val="2"/>
        </w:numPr>
        <w:tabs>
          <w:tab w:pos="760" w:val="left" w:leader="none"/>
        </w:tabs>
        <w:spacing w:line="276" w:lineRule="auto" w:before="94" w:after="0"/>
        <w:ind w:left="760" w:right="479" w:hanging="320"/>
        <w:jc w:val="both"/>
        <w:rPr>
          <w:sz w:val="22"/>
        </w:rPr>
      </w:pPr>
      <w:r>
        <w:rPr>
          <w:b/>
          <w:sz w:val="22"/>
        </w:rPr>
        <w:t>Dataset. </w:t>
      </w:r>
      <w:r>
        <w:rPr>
          <w:sz w:val="22"/>
        </w:rPr>
        <w:t>The listings, calendar and reviews tables (Experiment 1) were profiled, cleaned </w:t>
      </w:r>
      <w:r>
        <w:rPr>
          <w:sz w:val="22"/>
        </w:rPr>
        <w:t>and feature-engineered in Experiment 2, then merged on </w:t>
      </w:r>
      <w:r>
        <w:rPr>
          <w:i/>
          <w:sz w:val="22"/>
        </w:rPr>
        <w:t>listing_id </w:t>
      </w:r>
      <w:r>
        <w:rPr>
          <w:sz w:val="22"/>
        </w:rPr>
        <w:t>into </w:t>
      </w:r>
      <w:r>
        <w:rPr>
          <w:i/>
          <w:sz w:val="22"/>
        </w:rPr>
        <w:t>merged_dataset.csv </w:t>
      </w:r>
      <w:r>
        <w:rPr>
          <w:sz w:val="22"/>
        </w:rPr>
        <w:t>(490 listings; 458 have a price). The data covers Albany, NY, and contains the fairness aspects chosen in Experiment 1: room type (322 entire homes, 127 private rooms, 8 hotel rooms, 1 shared room among priced listings) and 15 wards.</w:t>
      </w:r>
    </w:p>
    <w:p>
      <w:pPr>
        <w:pStyle w:val="ListParagraph"/>
        <w:numPr>
          <w:ilvl w:val="1"/>
          <w:numId w:val="2"/>
        </w:numPr>
        <w:tabs>
          <w:tab w:pos="760" w:val="left" w:leader="none"/>
        </w:tabs>
        <w:spacing w:line="276" w:lineRule="auto" w:before="114" w:after="0"/>
        <w:ind w:left="760" w:right="479" w:hanging="320"/>
        <w:jc w:val="both"/>
        <w:rPr>
          <w:sz w:val="22"/>
        </w:rPr>
      </w:pPr>
      <w:r>
        <w:rPr>
          <w:b/>
          <w:sz w:val="22"/>
        </w:rPr>
        <w:t>Model. </w:t>
      </w:r>
      <w:r>
        <w:rPr>
          <w:sz w:val="22"/>
        </w:rPr>
        <w:t>The Experiment 4 winner, a Gradient Boosting Regressor inside a scikit-learn </w:t>
      </w:r>
      <w:r>
        <w:rPr>
          <w:sz w:val="22"/>
        </w:rPr>
        <w:t>pipeline (median imputation and scaling for 66 numeric features; most-frequent imputation and one-hot encoding for 14 categorical features). Price-derived columns (</w:t>
      </w:r>
      <w:r>
        <w:rPr>
          <w:i/>
          <w:sz w:val="22"/>
        </w:rPr>
        <w:t>price_quote_*</w:t>
      </w:r>
      <w:r>
        <w:rPr>
          <w:sz w:val="22"/>
        </w:rPr>
        <w:t>, </w:t>
      </w:r>
      <w:r>
        <w:rPr>
          <w:i/>
          <w:sz w:val="22"/>
        </w:rPr>
        <w:t>estimated_revenue_l365d</w:t>
      </w:r>
      <w:r>
        <w:rPr>
          <w:sz w:val="22"/>
        </w:rPr>
        <w:t>) are excluded to avoid target leakage; the split is 80/20 with random_state=42 (366 train, 92 test).</w:t>
      </w:r>
    </w:p>
    <w:p>
      <w:pPr>
        <w:pStyle w:val="ListParagraph"/>
        <w:numPr>
          <w:ilvl w:val="1"/>
          <w:numId w:val="2"/>
        </w:numPr>
        <w:tabs>
          <w:tab w:pos="760" w:val="left" w:leader="none"/>
        </w:tabs>
        <w:spacing w:line="276" w:lineRule="auto" w:before="114" w:after="0"/>
        <w:ind w:left="760" w:right="479" w:hanging="320"/>
        <w:jc w:val="both"/>
        <w:rPr>
          <w:sz w:val="22"/>
        </w:rPr>
      </w:pPr>
      <w:r>
        <w:rPr>
          <w:b/>
          <w:sz w:val="22"/>
        </w:rPr>
        <w:t>Reproduced result. </w:t>
      </w:r>
      <w:r>
        <w:rPr>
          <w:sz w:val="22"/>
        </w:rPr>
        <w:t>Re-running the pipeline gives exactly the Experiment 4 figures, so the explanations below describe that model.</w:t>
      </w:r>
    </w:p>
    <w:p>
      <w:pPr>
        <w:pStyle w:val="BodyText"/>
        <w:spacing w:before="7"/>
        <w:ind w:left="0" w:right="0"/>
        <w:rPr>
          <w:sz w:val="15"/>
        </w:rPr>
      </w:pPr>
    </w:p>
    <w:tbl>
      <w:tblPr>
        <w:tblW w:w="0" w:type="auto"/>
        <w:jc w:val="left"/>
        <w:tblInd w:w="3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744"/>
        <w:gridCol w:w="1584"/>
        <w:gridCol w:w="1584"/>
        <w:gridCol w:w="2448"/>
      </w:tblGrid>
      <w:tr>
        <w:trPr>
          <w:trHeight w:val="330" w:hRule="atLeast"/>
        </w:trPr>
        <w:tc>
          <w:tcPr>
            <w:tcW w:w="3744" w:type="dxa"/>
            <w:shd w:val="clear" w:color="auto" w:fill="E6EBF2"/>
          </w:tcPr>
          <w:p>
            <w:pPr>
              <w:pStyle w:val="TableParagraph"/>
              <w:rPr>
                <w:b/>
                <w:sz w:val="18"/>
              </w:rPr>
            </w:pPr>
            <w:r>
              <w:rPr>
                <w:b/>
                <w:sz w:val="18"/>
              </w:rPr>
              <w:t>Model (Experiment </w:t>
            </w:r>
            <w:r>
              <w:rPr>
                <w:b/>
                <w:spacing w:val="-5"/>
                <w:sz w:val="18"/>
              </w:rPr>
              <w:t>4)</w:t>
            </w:r>
          </w:p>
        </w:tc>
        <w:tc>
          <w:tcPr>
            <w:tcW w:w="1584" w:type="dxa"/>
            <w:shd w:val="clear" w:color="auto" w:fill="E6EBF2"/>
          </w:tcPr>
          <w:p>
            <w:pPr>
              <w:pStyle w:val="TableParagraph"/>
              <w:rPr>
                <w:b/>
                <w:sz w:val="18"/>
              </w:rPr>
            </w:pPr>
            <w:r>
              <w:rPr>
                <w:b/>
                <w:spacing w:val="-4"/>
                <w:sz w:val="18"/>
              </w:rPr>
              <w:t>RMSE</w:t>
            </w:r>
          </w:p>
        </w:tc>
        <w:tc>
          <w:tcPr>
            <w:tcW w:w="1584" w:type="dxa"/>
            <w:shd w:val="clear" w:color="auto" w:fill="E6EBF2"/>
          </w:tcPr>
          <w:p>
            <w:pPr>
              <w:pStyle w:val="TableParagraph"/>
              <w:rPr>
                <w:b/>
                <w:sz w:val="18"/>
              </w:rPr>
            </w:pPr>
            <w:r>
              <w:rPr>
                <w:b/>
                <w:spacing w:val="-5"/>
                <w:sz w:val="18"/>
              </w:rPr>
              <w:t>MAE</w:t>
            </w:r>
          </w:p>
        </w:tc>
        <w:tc>
          <w:tcPr>
            <w:tcW w:w="2448" w:type="dxa"/>
            <w:shd w:val="clear" w:color="auto" w:fill="E6EBF2"/>
          </w:tcPr>
          <w:p>
            <w:pPr>
              <w:pStyle w:val="TableParagraph"/>
              <w:rPr>
                <w:b/>
                <w:sz w:val="18"/>
              </w:rPr>
            </w:pPr>
            <w:r>
              <w:rPr>
                <w:b/>
                <w:sz w:val="18"/>
              </w:rPr>
              <w:t>R² (92 test </w:t>
            </w:r>
            <w:r>
              <w:rPr>
                <w:b/>
                <w:spacing w:val="-2"/>
                <w:sz w:val="18"/>
              </w:rPr>
              <w:t>listings)</w:t>
            </w:r>
          </w:p>
        </w:tc>
      </w:tr>
      <w:tr>
        <w:trPr>
          <w:trHeight w:val="330" w:hRule="atLeast"/>
        </w:trPr>
        <w:tc>
          <w:tcPr>
            <w:tcW w:w="3744" w:type="dxa"/>
          </w:tcPr>
          <w:p>
            <w:pPr>
              <w:pStyle w:val="TableParagraph"/>
              <w:rPr>
                <w:sz w:val="18"/>
              </w:rPr>
            </w:pPr>
            <w:r>
              <w:rPr>
                <w:sz w:val="18"/>
              </w:rPr>
              <w:t>Linear </w:t>
            </w:r>
            <w:r>
              <w:rPr>
                <w:spacing w:val="-2"/>
                <w:sz w:val="18"/>
              </w:rPr>
              <w:t>Regression</w:t>
            </w:r>
          </w:p>
        </w:tc>
        <w:tc>
          <w:tcPr>
            <w:tcW w:w="1584" w:type="dxa"/>
          </w:tcPr>
          <w:p>
            <w:pPr>
              <w:pStyle w:val="TableParagraph"/>
              <w:rPr>
                <w:sz w:val="18"/>
              </w:rPr>
            </w:pPr>
            <w:r>
              <w:rPr>
                <w:spacing w:val="-2"/>
                <w:sz w:val="18"/>
              </w:rPr>
              <w:t>102.01</w:t>
            </w:r>
          </w:p>
        </w:tc>
        <w:tc>
          <w:tcPr>
            <w:tcW w:w="1584" w:type="dxa"/>
          </w:tcPr>
          <w:p>
            <w:pPr>
              <w:pStyle w:val="TableParagraph"/>
              <w:rPr>
                <w:sz w:val="18"/>
              </w:rPr>
            </w:pPr>
            <w:r>
              <w:rPr>
                <w:spacing w:val="-2"/>
                <w:sz w:val="18"/>
              </w:rPr>
              <w:t>70.79</w:t>
            </w:r>
          </w:p>
        </w:tc>
        <w:tc>
          <w:tcPr>
            <w:tcW w:w="2448" w:type="dxa"/>
          </w:tcPr>
          <w:p>
            <w:pPr>
              <w:pStyle w:val="TableParagraph"/>
              <w:rPr>
                <w:sz w:val="18"/>
              </w:rPr>
            </w:pPr>
            <w:r>
              <w:rPr>
                <w:spacing w:val="-2"/>
                <w:sz w:val="18"/>
              </w:rPr>
              <w:t>0.5392</w:t>
            </w:r>
          </w:p>
        </w:tc>
      </w:tr>
      <w:tr>
        <w:trPr>
          <w:trHeight w:val="330" w:hRule="atLeast"/>
        </w:trPr>
        <w:tc>
          <w:tcPr>
            <w:tcW w:w="3744" w:type="dxa"/>
          </w:tcPr>
          <w:p>
            <w:pPr>
              <w:pStyle w:val="TableParagraph"/>
              <w:rPr>
                <w:sz w:val="18"/>
              </w:rPr>
            </w:pPr>
            <w:r>
              <w:rPr>
                <w:sz w:val="18"/>
              </w:rPr>
              <w:t>Random </w:t>
            </w:r>
            <w:r>
              <w:rPr>
                <w:spacing w:val="-2"/>
                <w:sz w:val="18"/>
              </w:rPr>
              <w:t>Forest</w:t>
            </w:r>
          </w:p>
        </w:tc>
        <w:tc>
          <w:tcPr>
            <w:tcW w:w="1584" w:type="dxa"/>
          </w:tcPr>
          <w:p>
            <w:pPr>
              <w:pStyle w:val="TableParagraph"/>
              <w:rPr>
                <w:sz w:val="18"/>
              </w:rPr>
            </w:pPr>
            <w:r>
              <w:rPr>
                <w:spacing w:val="-2"/>
                <w:sz w:val="18"/>
              </w:rPr>
              <w:t>85.52</w:t>
            </w:r>
          </w:p>
        </w:tc>
        <w:tc>
          <w:tcPr>
            <w:tcW w:w="1584" w:type="dxa"/>
          </w:tcPr>
          <w:p>
            <w:pPr>
              <w:pStyle w:val="TableParagraph"/>
              <w:rPr>
                <w:sz w:val="18"/>
              </w:rPr>
            </w:pPr>
            <w:r>
              <w:rPr>
                <w:spacing w:val="-2"/>
                <w:sz w:val="18"/>
              </w:rPr>
              <w:t>51.15</w:t>
            </w:r>
          </w:p>
        </w:tc>
        <w:tc>
          <w:tcPr>
            <w:tcW w:w="2448" w:type="dxa"/>
          </w:tcPr>
          <w:p>
            <w:pPr>
              <w:pStyle w:val="TableParagraph"/>
              <w:rPr>
                <w:sz w:val="18"/>
              </w:rPr>
            </w:pPr>
            <w:r>
              <w:rPr>
                <w:spacing w:val="-2"/>
                <w:sz w:val="18"/>
              </w:rPr>
              <w:t>0.6761</w:t>
            </w:r>
          </w:p>
        </w:tc>
      </w:tr>
      <w:tr>
        <w:trPr>
          <w:trHeight w:val="330" w:hRule="atLeast"/>
        </w:trPr>
        <w:tc>
          <w:tcPr>
            <w:tcW w:w="3744" w:type="dxa"/>
          </w:tcPr>
          <w:p>
            <w:pPr>
              <w:pStyle w:val="TableParagraph"/>
              <w:rPr>
                <w:b/>
                <w:sz w:val="18"/>
              </w:rPr>
            </w:pPr>
            <w:r>
              <w:rPr>
                <w:b/>
                <w:sz w:val="18"/>
              </w:rPr>
              <w:t>Gradient Boosting (used </w:t>
            </w:r>
            <w:r>
              <w:rPr>
                <w:b/>
                <w:spacing w:val="-2"/>
                <w:sz w:val="18"/>
              </w:rPr>
              <w:t>here)</w:t>
            </w:r>
          </w:p>
        </w:tc>
        <w:tc>
          <w:tcPr>
            <w:tcW w:w="1584" w:type="dxa"/>
          </w:tcPr>
          <w:p>
            <w:pPr>
              <w:pStyle w:val="TableParagraph"/>
              <w:rPr>
                <w:b/>
                <w:sz w:val="18"/>
              </w:rPr>
            </w:pPr>
            <w:r>
              <w:rPr>
                <w:b/>
                <w:spacing w:val="-2"/>
                <w:sz w:val="18"/>
              </w:rPr>
              <w:t>80.26</w:t>
            </w:r>
          </w:p>
        </w:tc>
        <w:tc>
          <w:tcPr>
            <w:tcW w:w="1584" w:type="dxa"/>
          </w:tcPr>
          <w:p>
            <w:pPr>
              <w:pStyle w:val="TableParagraph"/>
              <w:rPr>
                <w:b/>
                <w:sz w:val="18"/>
              </w:rPr>
            </w:pPr>
            <w:r>
              <w:rPr>
                <w:b/>
                <w:spacing w:val="-2"/>
                <w:sz w:val="18"/>
              </w:rPr>
              <w:t>49.38</w:t>
            </w:r>
          </w:p>
        </w:tc>
        <w:tc>
          <w:tcPr>
            <w:tcW w:w="2448" w:type="dxa"/>
          </w:tcPr>
          <w:p>
            <w:pPr>
              <w:pStyle w:val="TableParagraph"/>
              <w:rPr>
                <w:b/>
                <w:sz w:val="18"/>
              </w:rPr>
            </w:pPr>
            <w:r>
              <w:rPr>
                <w:b/>
                <w:spacing w:val="-2"/>
                <w:sz w:val="18"/>
              </w:rPr>
              <w:t>0.7147</w:t>
            </w:r>
          </w:p>
        </w:tc>
      </w:tr>
    </w:tbl>
    <w:p>
      <w:pPr>
        <w:pStyle w:val="BodyText"/>
        <w:spacing w:line="276" w:lineRule="auto" w:before="88"/>
        <w:ind w:left="480" w:right="111"/>
      </w:pPr>
      <w:r>
        <w:rPr/>
        <w:t>The</w:t>
      </w:r>
      <w:r>
        <w:rPr>
          <w:spacing w:val="18"/>
        </w:rPr>
        <w:t> </w:t>
      </w:r>
      <w:r>
        <w:rPr/>
        <w:t>Experiment</w:t>
      </w:r>
      <w:r>
        <w:rPr>
          <w:spacing w:val="18"/>
        </w:rPr>
        <w:t> </w:t>
      </w:r>
      <w:r>
        <w:rPr/>
        <w:t>1</w:t>
      </w:r>
      <w:r>
        <w:rPr>
          <w:spacing w:val="18"/>
        </w:rPr>
        <w:t> </w:t>
      </w:r>
      <w:r>
        <w:rPr/>
        <w:t>target</w:t>
      </w:r>
      <w:r>
        <w:rPr>
          <w:spacing w:val="18"/>
        </w:rPr>
        <w:t> </w:t>
      </w:r>
      <w:r>
        <w:rPr/>
        <w:t>of</w:t>
      </w:r>
      <w:r>
        <w:rPr>
          <w:spacing w:val="18"/>
        </w:rPr>
        <w:t> </w:t>
      </w:r>
      <w:r>
        <w:rPr/>
        <w:t>RZ</w:t>
      </w:r>
      <w:r>
        <w:rPr>
          <w:spacing w:val="18"/>
        </w:rPr>
        <w:t> </w:t>
      </w:r>
      <w:r>
        <w:rPr/>
        <w:t>≥</w:t>
      </w:r>
      <w:r>
        <w:rPr>
          <w:spacing w:val="18"/>
        </w:rPr>
        <w:t> </w:t>
      </w:r>
      <w:r>
        <w:rPr/>
        <w:t>0.85</w:t>
      </w:r>
      <w:r>
        <w:rPr>
          <w:spacing w:val="18"/>
        </w:rPr>
        <w:t> </w:t>
      </w:r>
      <w:r>
        <w:rPr/>
        <w:t>is</w:t>
      </w:r>
      <w:r>
        <w:rPr>
          <w:spacing w:val="18"/>
        </w:rPr>
        <w:t> </w:t>
      </w:r>
      <w:r>
        <w:rPr/>
        <w:t>not</w:t>
      </w:r>
      <w:r>
        <w:rPr>
          <w:spacing w:val="18"/>
        </w:rPr>
        <w:t> </w:t>
      </w:r>
      <w:r>
        <w:rPr/>
        <w:t>reached.</w:t>
      </w:r>
      <w:r>
        <w:rPr>
          <w:spacing w:val="18"/>
        </w:rPr>
        <w:t> </w:t>
      </w:r>
      <w:r>
        <w:rPr/>
        <w:t>Because</w:t>
      </w:r>
      <w:r>
        <w:rPr>
          <w:spacing w:val="18"/>
        </w:rPr>
        <w:t> </w:t>
      </w:r>
      <w:r>
        <w:rPr/>
        <w:t>92</w:t>
      </w:r>
      <w:r>
        <w:rPr>
          <w:spacing w:val="18"/>
        </w:rPr>
        <w:t> </w:t>
      </w:r>
      <w:r>
        <w:rPr/>
        <w:t>test</w:t>
      </w:r>
      <w:r>
        <w:rPr>
          <w:spacing w:val="18"/>
        </w:rPr>
        <w:t> </w:t>
      </w:r>
      <w:r>
        <w:rPr/>
        <w:t>listings</w:t>
      </w:r>
      <w:r>
        <w:rPr>
          <w:spacing w:val="18"/>
        </w:rPr>
        <w:t> </w:t>
      </w:r>
      <w:r>
        <w:rPr/>
        <w:t>is</w:t>
      </w:r>
      <w:r>
        <w:rPr>
          <w:spacing w:val="18"/>
        </w:rPr>
        <w:t> </w:t>
      </w:r>
      <w:r>
        <w:rPr/>
        <w:t>a</w:t>
      </w:r>
      <w:r>
        <w:rPr>
          <w:spacing w:val="18"/>
        </w:rPr>
        <w:t> </w:t>
      </w:r>
      <w:r>
        <w:rPr/>
        <w:t>small</w:t>
      </w:r>
      <w:r>
        <w:rPr>
          <w:spacing w:val="18"/>
        </w:rPr>
        <w:t> </w:t>
      </w:r>
      <w:r>
        <w:rPr/>
        <w:t>sample,</w:t>
      </w:r>
      <w:r>
        <w:rPr>
          <w:spacing w:val="18"/>
        </w:rPr>
        <w:t> </w:t>
      </w:r>
      <w:r>
        <w:rPr/>
        <w:t>the model</w:t>
      </w:r>
      <w:r>
        <w:rPr>
          <w:spacing w:val="20"/>
        </w:rPr>
        <w:t> </w:t>
      </w:r>
      <w:r>
        <w:rPr/>
        <w:t>was</w:t>
      </w:r>
      <w:r>
        <w:rPr>
          <w:spacing w:val="21"/>
        </w:rPr>
        <w:t> </w:t>
      </w:r>
      <w:r>
        <w:rPr/>
        <w:t>also</w:t>
      </w:r>
      <w:r>
        <w:rPr>
          <w:spacing w:val="20"/>
        </w:rPr>
        <w:t> </w:t>
      </w:r>
      <w:r>
        <w:rPr/>
        <w:t>scored</w:t>
      </w:r>
      <w:r>
        <w:rPr>
          <w:spacing w:val="21"/>
        </w:rPr>
        <w:t> </w:t>
      </w:r>
      <w:r>
        <w:rPr/>
        <w:t>with</w:t>
      </w:r>
      <w:r>
        <w:rPr>
          <w:spacing w:val="21"/>
        </w:rPr>
        <w:t> </w:t>
      </w:r>
      <w:r>
        <w:rPr/>
        <w:t>5-fold</w:t>
      </w:r>
      <w:r>
        <w:rPr>
          <w:spacing w:val="20"/>
        </w:rPr>
        <w:t> </w:t>
      </w:r>
      <w:r>
        <w:rPr/>
        <w:t>out-of-fold</w:t>
      </w:r>
      <w:r>
        <w:rPr>
          <w:spacing w:val="21"/>
        </w:rPr>
        <w:t> </w:t>
      </w:r>
      <w:r>
        <w:rPr/>
        <w:t>predictions</w:t>
      </w:r>
      <w:r>
        <w:rPr>
          <w:spacing w:val="20"/>
        </w:rPr>
        <w:t> </w:t>
      </w:r>
      <w:r>
        <w:rPr/>
        <w:t>over</w:t>
      </w:r>
      <w:r>
        <w:rPr>
          <w:spacing w:val="21"/>
        </w:rPr>
        <w:t> </w:t>
      </w:r>
      <w:r>
        <w:rPr/>
        <w:t>all</w:t>
      </w:r>
      <w:r>
        <w:rPr>
          <w:spacing w:val="21"/>
        </w:rPr>
        <w:t> </w:t>
      </w:r>
      <w:r>
        <w:rPr/>
        <w:t>458</w:t>
      </w:r>
      <w:r>
        <w:rPr>
          <w:spacing w:val="20"/>
        </w:rPr>
        <w:t> </w:t>
      </w:r>
      <w:r>
        <w:rPr/>
        <w:t>listings:</w:t>
      </w:r>
      <w:r>
        <w:rPr>
          <w:spacing w:val="21"/>
        </w:rPr>
        <w:t> </w:t>
      </w:r>
      <w:r>
        <w:rPr/>
        <w:t>RZ</w:t>
      </w:r>
      <w:r>
        <w:rPr>
          <w:spacing w:val="20"/>
        </w:rPr>
        <w:t> </w:t>
      </w:r>
      <w:r>
        <w:rPr/>
        <w:t>=</w:t>
      </w:r>
      <w:r>
        <w:rPr>
          <w:spacing w:val="21"/>
        </w:rPr>
        <w:t> </w:t>
      </w:r>
      <w:r>
        <w:rPr/>
        <w:t>0.534,</w:t>
      </w:r>
      <w:r>
        <w:rPr>
          <w:spacing w:val="21"/>
        </w:rPr>
        <w:t> </w:t>
      </w:r>
      <w:r>
        <w:rPr/>
        <w:t>MAE</w:t>
      </w:r>
      <w:r>
        <w:rPr>
          <w:spacing w:val="20"/>
        </w:rPr>
        <w:t> </w:t>
      </w:r>
      <w:r>
        <w:rPr>
          <w:spacing w:val="-10"/>
        </w:rPr>
        <w:t>=</w:t>
      </w:r>
    </w:p>
    <w:p>
      <w:pPr>
        <w:pStyle w:val="BodyText"/>
        <w:spacing w:line="276" w:lineRule="auto" w:before="0"/>
        <w:ind w:left="480" w:right="111"/>
      </w:pPr>
      <w:r>
        <w:rPr/>
        <w:t>$45.82,</w:t>
      </w:r>
      <w:r>
        <w:rPr>
          <w:spacing w:val="-4"/>
        </w:rPr>
        <w:t> </w:t>
      </w:r>
      <w:r>
        <w:rPr/>
        <w:t>RMSE</w:t>
      </w:r>
      <w:r>
        <w:rPr>
          <w:spacing w:val="-4"/>
        </w:rPr>
        <w:t> </w:t>
      </w:r>
      <w:r>
        <w:rPr/>
        <w:t>=</w:t>
      </w:r>
      <w:r>
        <w:rPr>
          <w:spacing w:val="-4"/>
        </w:rPr>
        <w:t> </w:t>
      </w:r>
      <w:r>
        <w:rPr/>
        <w:t>$107.34.</w:t>
      </w:r>
      <w:r>
        <w:rPr>
          <w:spacing w:val="-4"/>
        </w:rPr>
        <w:t> </w:t>
      </w:r>
      <w:r>
        <w:rPr/>
        <w:t>The</w:t>
      </w:r>
      <w:r>
        <w:rPr>
          <w:spacing w:val="-4"/>
        </w:rPr>
        <w:t> </w:t>
      </w:r>
      <w:r>
        <w:rPr/>
        <w:t>test-split</w:t>
      </w:r>
      <w:r>
        <w:rPr>
          <w:spacing w:val="-4"/>
        </w:rPr>
        <w:t> </w:t>
      </w:r>
      <w:r>
        <w:rPr/>
        <w:t>RZ</w:t>
      </w:r>
      <w:r>
        <w:rPr>
          <w:spacing w:val="-4"/>
        </w:rPr>
        <w:t> </w:t>
      </w:r>
      <w:r>
        <w:rPr/>
        <w:t>of</w:t>
      </w:r>
      <w:r>
        <w:rPr>
          <w:spacing w:val="-4"/>
        </w:rPr>
        <w:t> </w:t>
      </w:r>
      <w:r>
        <w:rPr/>
        <w:t>0.715</w:t>
      </w:r>
      <w:r>
        <w:rPr>
          <w:spacing w:val="-4"/>
        </w:rPr>
        <w:t> </w:t>
      </w:r>
      <w:r>
        <w:rPr/>
        <w:t>is</w:t>
      </w:r>
      <w:r>
        <w:rPr>
          <w:spacing w:val="-4"/>
        </w:rPr>
        <w:t> </w:t>
      </w:r>
      <w:r>
        <w:rPr/>
        <w:t>therefore</w:t>
      </w:r>
      <w:r>
        <w:rPr>
          <w:spacing w:val="-4"/>
        </w:rPr>
        <w:t> </w:t>
      </w:r>
      <w:r>
        <w:rPr/>
        <w:t>on</w:t>
      </w:r>
      <w:r>
        <w:rPr>
          <w:spacing w:val="-4"/>
        </w:rPr>
        <w:t> </w:t>
      </w:r>
      <w:r>
        <w:rPr/>
        <w:t>the</w:t>
      </w:r>
      <w:r>
        <w:rPr>
          <w:spacing w:val="-4"/>
        </w:rPr>
        <w:t> </w:t>
      </w:r>
      <w:r>
        <w:rPr/>
        <w:t>optimistic</w:t>
      </w:r>
      <w:r>
        <w:rPr>
          <w:spacing w:val="-4"/>
        </w:rPr>
        <w:t> </w:t>
      </w:r>
      <w:r>
        <w:rPr/>
        <w:t>side,</w:t>
      </w:r>
      <w:r>
        <w:rPr>
          <w:spacing w:val="-4"/>
        </w:rPr>
        <w:t> </w:t>
      </w:r>
      <w:r>
        <w:rPr/>
        <w:t>and</w:t>
      </w:r>
      <w:r>
        <w:rPr>
          <w:spacing w:val="-4"/>
        </w:rPr>
        <w:t> </w:t>
      </w:r>
      <w:r>
        <w:rPr/>
        <w:t>the</w:t>
      </w:r>
      <w:r>
        <w:rPr>
          <w:spacing w:val="-4"/>
        </w:rPr>
        <w:t> </w:t>
      </w:r>
      <w:r>
        <w:rPr/>
        <w:t>fairness audit below uses the out-of-fold predictions.</w:t>
      </w:r>
    </w:p>
    <w:p>
      <w:pPr>
        <w:pStyle w:val="BodyText"/>
        <w:spacing w:after="0" w:line="276" w:lineRule="auto"/>
        <w:sectPr>
          <w:footerReference w:type="default" r:id="rId5"/>
          <w:type w:val="continuous"/>
          <w:pgSz w:w="12240" w:h="15840"/>
          <w:pgMar w:header="0" w:footer="680" w:top="1360" w:bottom="880" w:left="1080" w:right="1080"/>
          <w:pgNumType w:start="1"/>
        </w:sectPr>
      </w:pPr>
    </w:p>
    <w:p>
      <w:pPr>
        <w:pStyle w:val="Heading3"/>
        <w:numPr>
          <w:ilvl w:val="0"/>
          <w:numId w:val="2"/>
        </w:numPr>
        <w:tabs>
          <w:tab w:pos="710" w:val="left" w:leader="none"/>
        </w:tabs>
        <w:spacing w:line="240" w:lineRule="auto" w:before="71" w:after="0"/>
        <w:ind w:left="710" w:right="0" w:hanging="230"/>
        <w:jc w:val="both"/>
      </w:pPr>
      <w:r>
        <w:rPr/>
        <w:t>Explainability with </w:t>
      </w:r>
      <w:r>
        <w:rPr>
          <w:spacing w:val="-4"/>
        </w:rPr>
        <w:t>SHAP</w:t>
      </w:r>
    </w:p>
    <w:p>
      <w:pPr>
        <w:pStyle w:val="BodyText"/>
        <w:spacing w:line="276" w:lineRule="auto" w:before="95"/>
        <w:ind w:left="480"/>
        <w:jc w:val="both"/>
      </w:pPr>
      <w:r>
        <w:rPr>
          <w:i/>
        </w:rPr>
        <w:t>shap.TreeExplainer </w:t>
      </w:r>
      <w:r>
        <w:rPr/>
        <w:t>computes exact Shapley values for the tree ensemble on the 92 test listings. </w:t>
      </w:r>
      <w:r>
        <w:rPr/>
        <w:t>The base value (average prediction) is $172.17 per night, and for every listing base value plus the sum of SHAP values equals the model prediction (maximum difference below 1e-12). One-hot columns are added back to their original feature so that importance is reported per real feature.</w:t>
      </w:r>
    </w:p>
    <w:p>
      <w:pPr>
        <w:pStyle w:val="BodyText"/>
        <w:spacing w:before="7"/>
        <w:ind w:left="0" w:right="0"/>
        <w:rPr>
          <w:sz w:val="20"/>
        </w:rPr>
      </w:pPr>
      <w:r>
        <w:rPr>
          <w:sz w:val="20"/>
        </w:rPr>
        <w:drawing>
          <wp:anchor distT="0" distB="0" distL="0" distR="0" allowOverlap="1" layoutInCell="1" locked="0" behindDoc="1" simplePos="0" relativeHeight="487587840">
            <wp:simplePos x="0" y="0"/>
            <wp:positionH relativeFrom="page">
              <wp:posOffset>1747093</wp:posOffset>
            </wp:positionH>
            <wp:positionV relativeFrom="paragraph">
              <wp:posOffset>165830</wp:posOffset>
            </wp:positionV>
            <wp:extent cx="4343400" cy="282682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43400" cy="2826829"/>
                    </a:xfrm>
                    <a:prstGeom prst="rect">
                      <a:avLst/>
                    </a:prstGeom>
                  </pic:spPr>
                </pic:pic>
              </a:graphicData>
            </a:graphic>
          </wp:anchor>
        </w:drawing>
      </w:r>
    </w:p>
    <w:p>
      <w:pPr>
        <w:spacing w:before="181"/>
        <w:ind w:left="480" w:right="0" w:firstLine="0"/>
        <w:jc w:val="both"/>
        <w:rPr>
          <w:i/>
          <w:sz w:val="19"/>
        </w:rPr>
      </w:pPr>
      <w:r>
        <w:rPr>
          <w:i/>
          <w:sz w:val="19"/>
        </w:rPr>
        <w:t>Figure 1. Global feature importance: mean |SHAP value| per feature (USD per </w:t>
      </w:r>
      <w:r>
        <w:rPr>
          <w:i/>
          <w:spacing w:val="-2"/>
          <w:sz w:val="19"/>
        </w:rPr>
        <w:t>night).</w:t>
      </w:r>
    </w:p>
    <w:p>
      <w:pPr>
        <w:pStyle w:val="BodyText"/>
        <w:spacing w:before="98"/>
        <w:ind w:left="0" w:right="0"/>
        <w:rPr>
          <w:i/>
          <w:sz w:val="20"/>
        </w:rPr>
      </w:pPr>
      <w:r>
        <w:rPr>
          <w:i/>
          <w:sz w:val="20"/>
        </w:rPr>
        <w:drawing>
          <wp:anchor distT="0" distB="0" distL="0" distR="0" allowOverlap="1" layoutInCell="1" locked="0" behindDoc="1" simplePos="0" relativeHeight="487588352">
            <wp:simplePos x="0" y="0"/>
            <wp:positionH relativeFrom="page">
              <wp:posOffset>1965370</wp:posOffset>
            </wp:positionH>
            <wp:positionV relativeFrom="paragraph">
              <wp:posOffset>223794</wp:posOffset>
            </wp:positionV>
            <wp:extent cx="3902392" cy="265557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902392" cy="2655570"/>
                    </a:xfrm>
                    <a:prstGeom prst="rect">
                      <a:avLst/>
                    </a:prstGeom>
                  </pic:spPr>
                </pic:pic>
              </a:graphicData>
            </a:graphic>
          </wp:anchor>
        </w:drawing>
      </w:r>
    </w:p>
    <w:p>
      <w:pPr>
        <w:spacing w:line="264" w:lineRule="auto" w:before="184"/>
        <w:ind w:left="480" w:right="521" w:firstLine="0"/>
        <w:jc w:val="both"/>
        <w:rPr>
          <w:i/>
          <w:sz w:val="19"/>
        </w:rPr>
      </w:pPr>
      <w:r>
        <w:rPr>
          <w:i/>
          <w:sz w:val="19"/>
        </w:rPr>
        <w:t>Figure</w:t>
      </w:r>
      <w:r>
        <w:rPr>
          <w:i/>
          <w:spacing w:val="-2"/>
          <w:sz w:val="19"/>
        </w:rPr>
        <w:t> </w:t>
      </w:r>
      <w:r>
        <w:rPr>
          <w:i/>
          <w:sz w:val="19"/>
        </w:rPr>
        <w:t>2.</w:t>
      </w:r>
      <w:r>
        <w:rPr>
          <w:i/>
          <w:spacing w:val="-2"/>
          <w:sz w:val="19"/>
        </w:rPr>
        <w:t> </w:t>
      </w:r>
      <w:r>
        <w:rPr>
          <w:i/>
          <w:sz w:val="19"/>
        </w:rPr>
        <w:t>SHAP</w:t>
      </w:r>
      <w:r>
        <w:rPr>
          <w:i/>
          <w:spacing w:val="-2"/>
          <w:sz w:val="19"/>
        </w:rPr>
        <w:t> </w:t>
      </w:r>
      <w:r>
        <w:rPr>
          <w:i/>
          <w:sz w:val="19"/>
        </w:rPr>
        <w:t>summary</w:t>
      </w:r>
      <w:r>
        <w:rPr>
          <w:i/>
          <w:spacing w:val="-2"/>
          <w:sz w:val="19"/>
        </w:rPr>
        <w:t> </w:t>
      </w:r>
      <w:r>
        <w:rPr>
          <w:i/>
          <w:sz w:val="19"/>
        </w:rPr>
        <w:t>plot</w:t>
      </w:r>
      <w:r>
        <w:rPr>
          <w:i/>
          <w:spacing w:val="-2"/>
          <w:sz w:val="19"/>
        </w:rPr>
        <w:t> </w:t>
      </w:r>
      <w:r>
        <w:rPr>
          <w:i/>
          <w:sz w:val="19"/>
        </w:rPr>
        <w:t>for</w:t>
      </w:r>
      <w:r>
        <w:rPr>
          <w:i/>
          <w:spacing w:val="-2"/>
          <w:sz w:val="19"/>
        </w:rPr>
        <w:t> </w:t>
      </w:r>
      <w:r>
        <w:rPr>
          <w:i/>
          <w:sz w:val="19"/>
        </w:rPr>
        <w:t>the</w:t>
      </w:r>
      <w:r>
        <w:rPr>
          <w:i/>
          <w:spacing w:val="-2"/>
          <w:sz w:val="19"/>
        </w:rPr>
        <w:t> </w:t>
      </w:r>
      <w:r>
        <w:rPr>
          <w:i/>
          <w:sz w:val="19"/>
        </w:rPr>
        <w:t>top</w:t>
      </w:r>
      <w:r>
        <w:rPr>
          <w:i/>
          <w:spacing w:val="-2"/>
          <w:sz w:val="19"/>
        </w:rPr>
        <w:t> </w:t>
      </w:r>
      <w:r>
        <w:rPr>
          <w:i/>
          <w:sz w:val="19"/>
        </w:rPr>
        <w:t>numeric</w:t>
      </w:r>
      <w:r>
        <w:rPr>
          <w:i/>
          <w:spacing w:val="-2"/>
          <w:sz w:val="19"/>
        </w:rPr>
        <w:t> </w:t>
      </w:r>
      <w:r>
        <w:rPr>
          <w:i/>
          <w:sz w:val="19"/>
        </w:rPr>
        <w:t>features.</w:t>
      </w:r>
      <w:r>
        <w:rPr>
          <w:i/>
          <w:spacing w:val="-2"/>
          <w:sz w:val="19"/>
        </w:rPr>
        <w:t> </w:t>
      </w:r>
      <w:r>
        <w:rPr>
          <w:i/>
          <w:sz w:val="19"/>
        </w:rPr>
        <w:t>Each</w:t>
      </w:r>
      <w:r>
        <w:rPr>
          <w:i/>
          <w:spacing w:val="-2"/>
          <w:sz w:val="19"/>
        </w:rPr>
        <w:t> </w:t>
      </w:r>
      <w:r>
        <w:rPr>
          <w:i/>
          <w:sz w:val="19"/>
        </w:rPr>
        <w:t>dot</w:t>
      </w:r>
      <w:r>
        <w:rPr>
          <w:i/>
          <w:spacing w:val="-2"/>
          <w:sz w:val="19"/>
        </w:rPr>
        <w:t> </w:t>
      </w:r>
      <w:r>
        <w:rPr>
          <w:i/>
          <w:sz w:val="19"/>
        </w:rPr>
        <w:t>is</w:t>
      </w:r>
      <w:r>
        <w:rPr>
          <w:i/>
          <w:spacing w:val="-2"/>
          <w:sz w:val="19"/>
        </w:rPr>
        <w:t> </w:t>
      </w:r>
      <w:r>
        <w:rPr>
          <w:i/>
          <w:sz w:val="19"/>
        </w:rPr>
        <w:t>a</w:t>
      </w:r>
      <w:r>
        <w:rPr>
          <w:i/>
          <w:spacing w:val="-2"/>
          <w:sz w:val="19"/>
        </w:rPr>
        <w:t> </w:t>
      </w:r>
      <w:r>
        <w:rPr>
          <w:i/>
          <w:sz w:val="19"/>
        </w:rPr>
        <w:t>listing;</w:t>
      </w:r>
      <w:r>
        <w:rPr>
          <w:i/>
          <w:spacing w:val="-2"/>
          <w:sz w:val="19"/>
        </w:rPr>
        <w:t> </w:t>
      </w:r>
      <w:r>
        <w:rPr>
          <w:i/>
          <w:sz w:val="19"/>
        </w:rPr>
        <w:t>colour</w:t>
      </w:r>
      <w:r>
        <w:rPr>
          <w:i/>
          <w:spacing w:val="-2"/>
          <w:sz w:val="19"/>
        </w:rPr>
        <w:t> </w:t>
      </w:r>
      <w:r>
        <w:rPr>
          <w:i/>
          <w:sz w:val="19"/>
        </w:rPr>
        <w:t>is</w:t>
      </w:r>
      <w:r>
        <w:rPr>
          <w:i/>
          <w:spacing w:val="-2"/>
          <w:sz w:val="19"/>
        </w:rPr>
        <w:t> </w:t>
      </w:r>
      <w:r>
        <w:rPr>
          <w:i/>
          <w:sz w:val="19"/>
        </w:rPr>
        <w:t>the</w:t>
      </w:r>
      <w:r>
        <w:rPr>
          <w:i/>
          <w:spacing w:val="-2"/>
          <w:sz w:val="19"/>
        </w:rPr>
        <w:t> </w:t>
      </w:r>
      <w:r>
        <w:rPr>
          <w:i/>
          <w:sz w:val="19"/>
        </w:rPr>
        <w:t>feature</w:t>
      </w:r>
      <w:r>
        <w:rPr>
          <w:i/>
          <w:spacing w:val="-2"/>
          <w:sz w:val="19"/>
        </w:rPr>
        <w:t> </w:t>
      </w:r>
      <w:r>
        <w:rPr>
          <w:i/>
          <w:sz w:val="19"/>
        </w:rPr>
        <w:t>value,</w:t>
      </w:r>
      <w:r>
        <w:rPr>
          <w:i/>
          <w:spacing w:val="-2"/>
          <w:sz w:val="19"/>
        </w:rPr>
        <w:t> </w:t>
      </w:r>
      <w:r>
        <w:rPr>
          <w:i/>
          <w:sz w:val="19"/>
        </w:rPr>
        <w:t>position</w:t>
      </w:r>
      <w:r>
        <w:rPr>
          <w:i/>
          <w:spacing w:val="-2"/>
          <w:sz w:val="19"/>
        </w:rPr>
        <w:t> </w:t>
      </w:r>
      <w:r>
        <w:rPr>
          <w:i/>
          <w:sz w:val="19"/>
        </w:rPr>
        <w:t>is its effect on the predicted price.</w:t>
      </w:r>
    </w:p>
    <w:p>
      <w:pPr>
        <w:spacing w:after="0" w:line="264" w:lineRule="auto"/>
        <w:jc w:val="both"/>
        <w:rPr>
          <w:i/>
          <w:sz w:val="19"/>
        </w:rPr>
        <w:sectPr>
          <w:pgSz w:w="12240" w:h="15840"/>
          <w:pgMar w:header="0" w:footer="680" w:top="1360" w:bottom="880" w:left="1080" w:right="1080"/>
        </w:sectPr>
      </w:pPr>
    </w:p>
    <w:p>
      <w:pPr>
        <w:spacing w:line="240" w:lineRule="auto"/>
        <w:ind w:left="780" w:right="0" w:firstLine="0"/>
        <w:rPr>
          <w:sz w:val="20"/>
        </w:rPr>
      </w:pPr>
      <w:r>
        <w:rPr>
          <w:sz w:val="20"/>
        </w:rPr>
        <w:drawing>
          <wp:inline distT="0" distB="0" distL="0" distR="0">
            <wp:extent cx="5403904" cy="1987772"/>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403904" cy="1987772"/>
                    </a:xfrm>
                    <a:prstGeom prst="rect">
                      <a:avLst/>
                    </a:prstGeom>
                  </pic:spPr>
                </pic:pic>
              </a:graphicData>
            </a:graphic>
          </wp:inline>
        </w:drawing>
      </w:r>
      <w:r>
        <w:rPr>
          <w:sz w:val="20"/>
        </w:rPr>
      </w:r>
    </w:p>
    <w:p>
      <w:pPr>
        <w:pStyle w:val="BodyText"/>
        <w:spacing w:before="7"/>
        <w:ind w:left="0" w:right="0"/>
        <w:rPr>
          <w:i/>
          <w:sz w:val="19"/>
        </w:rPr>
      </w:pPr>
    </w:p>
    <w:p>
      <w:pPr>
        <w:spacing w:before="0"/>
        <w:ind w:left="480" w:right="0" w:firstLine="0"/>
        <w:jc w:val="left"/>
        <w:rPr>
          <w:i/>
          <w:sz w:val="19"/>
        </w:rPr>
      </w:pPr>
      <w:r>
        <w:rPr>
          <w:i/>
          <w:sz w:val="19"/>
        </w:rPr>
        <w:t>Figure 3. SHAP dependence plots for accommodates, minimum_minimum_nights and </w:t>
      </w:r>
      <w:r>
        <w:rPr>
          <w:i/>
          <w:spacing w:val="-2"/>
          <w:sz w:val="19"/>
        </w:rPr>
        <w:t>bathrooms.</w:t>
      </w:r>
    </w:p>
    <w:p>
      <w:pPr>
        <w:pStyle w:val="BodyText"/>
        <w:spacing w:before="5"/>
        <w:ind w:left="0" w:right="0"/>
        <w:rPr>
          <w:i/>
          <w:sz w:val="19"/>
        </w:rPr>
      </w:pPr>
    </w:p>
    <w:p>
      <w:pPr>
        <w:pStyle w:val="Heading4"/>
      </w:pPr>
      <w:r>
        <w:rPr>
          <w:spacing w:val="-2"/>
        </w:rPr>
        <w:t>Interpretation.</w:t>
      </w:r>
    </w:p>
    <w:p>
      <w:pPr>
        <w:pStyle w:val="ListParagraph"/>
        <w:numPr>
          <w:ilvl w:val="1"/>
          <w:numId w:val="2"/>
        </w:numPr>
        <w:tabs>
          <w:tab w:pos="759" w:val="left" w:leader="none"/>
        </w:tabs>
        <w:spacing w:line="240" w:lineRule="auto" w:before="156" w:after="0"/>
        <w:ind w:left="759" w:right="0" w:hanging="319"/>
        <w:jc w:val="both"/>
        <w:rPr>
          <w:sz w:val="22"/>
        </w:rPr>
      </w:pPr>
      <w:r>
        <w:rPr>
          <w:b/>
          <w:sz w:val="22"/>
        </w:rPr>
        <w:t>Size</w:t>
      </w:r>
      <w:r>
        <w:rPr>
          <w:b/>
          <w:spacing w:val="14"/>
          <w:sz w:val="22"/>
        </w:rPr>
        <w:t> </w:t>
      </w:r>
      <w:r>
        <w:rPr>
          <w:b/>
          <w:sz w:val="22"/>
        </w:rPr>
        <w:t>and</w:t>
      </w:r>
      <w:r>
        <w:rPr>
          <w:b/>
          <w:spacing w:val="14"/>
          <w:sz w:val="22"/>
        </w:rPr>
        <w:t> </w:t>
      </w:r>
      <w:r>
        <w:rPr>
          <w:b/>
          <w:sz w:val="22"/>
        </w:rPr>
        <w:t>capacity</w:t>
      </w:r>
      <w:r>
        <w:rPr>
          <w:b/>
          <w:spacing w:val="14"/>
          <w:sz w:val="22"/>
        </w:rPr>
        <w:t> </w:t>
      </w:r>
      <w:r>
        <w:rPr>
          <w:b/>
          <w:sz w:val="22"/>
        </w:rPr>
        <w:t>drive</w:t>
      </w:r>
      <w:r>
        <w:rPr>
          <w:b/>
          <w:spacing w:val="14"/>
          <w:sz w:val="22"/>
        </w:rPr>
        <w:t> </w:t>
      </w:r>
      <w:r>
        <w:rPr>
          <w:b/>
          <w:sz w:val="22"/>
        </w:rPr>
        <w:t>price.</w:t>
      </w:r>
      <w:r>
        <w:rPr>
          <w:b/>
          <w:spacing w:val="14"/>
          <w:sz w:val="22"/>
        </w:rPr>
        <w:t> </w:t>
      </w:r>
      <w:r>
        <w:rPr>
          <w:i/>
          <w:sz w:val="22"/>
        </w:rPr>
        <w:t>accommodates</w:t>
      </w:r>
      <w:r>
        <w:rPr>
          <w:i/>
          <w:spacing w:val="14"/>
          <w:sz w:val="22"/>
        </w:rPr>
        <w:t> </w:t>
      </w:r>
      <w:r>
        <w:rPr>
          <w:sz w:val="22"/>
        </w:rPr>
        <w:t>is</w:t>
      </w:r>
      <w:r>
        <w:rPr>
          <w:spacing w:val="14"/>
          <w:sz w:val="22"/>
        </w:rPr>
        <w:t> </w:t>
      </w:r>
      <w:r>
        <w:rPr>
          <w:sz w:val="22"/>
        </w:rPr>
        <w:t>by</w:t>
      </w:r>
      <w:r>
        <w:rPr>
          <w:spacing w:val="14"/>
          <w:sz w:val="22"/>
        </w:rPr>
        <w:t> </w:t>
      </w:r>
      <w:r>
        <w:rPr>
          <w:sz w:val="22"/>
        </w:rPr>
        <w:t>far</w:t>
      </w:r>
      <w:r>
        <w:rPr>
          <w:spacing w:val="14"/>
          <w:sz w:val="22"/>
        </w:rPr>
        <w:t> </w:t>
      </w:r>
      <w:r>
        <w:rPr>
          <w:sz w:val="22"/>
        </w:rPr>
        <w:t>the</w:t>
      </w:r>
      <w:r>
        <w:rPr>
          <w:spacing w:val="14"/>
          <w:sz w:val="22"/>
        </w:rPr>
        <w:t> </w:t>
      </w:r>
      <w:r>
        <w:rPr>
          <w:sz w:val="22"/>
        </w:rPr>
        <w:t>most</w:t>
      </w:r>
      <w:r>
        <w:rPr>
          <w:spacing w:val="14"/>
          <w:sz w:val="22"/>
        </w:rPr>
        <w:t> </w:t>
      </w:r>
      <w:r>
        <w:rPr>
          <w:sz w:val="22"/>
        </w:rPr>
        <w:t>influential</w:t>
      </w:r>
      <w:r>
        <w:rPr>
          <w:spacing w:val="14"/>
          <w:sz w:val="22"/>
        </w:rPr>
        <w:t> </w:t>
      </w:r>
      <w:r>
        <w:rPr>
          <w:sz w:val="22"/>
        </w:rPr>
        <w:t>feature</w:t>
      </w:r>
      <w:r>
        <w:rPr>
          <w:spacing w:val="14"/>
          <w:sz w:val="22"/>
        </w:rPr>
        <w:t> </w:t>
      </w:r>
      <w:r>
        <w:rPr>
          <w:sz w:val="22"/>
        </w:rPr>
        <w:t>(mean</w:t>
      </w:r>
      <w:r>
        <w:rPr>
          <w:spacing w:val="14"/>
          <w:sz w:val="22"/>
        </w:rPr>
        <w:t> </w:t>
      </w:r>
      <w:r>
        <w:rPr>
          <w:spacing w:val="-2"/>
          <w:sz w:val="22"/>
        </w:rPr>
        <w:t>|SHAP|</w:t>
      </w:r>
    </w:p>
    <w:p>
      <w:pPr>
        <w:spacing w:line="276" w:lineRule="auto" w:before="37"/>
        <w:ind w:left="760" w:right="479" w:firstLine="0"/>
        <w:jc w:val="both"/>
        <w:rPr>
          <w:sz w:val="22"/>
        </w:rPr>
      </w:pPr>
      <w:r>
        <w:rPr>
          <w:sz w:val="22"/>
        </w:rPr>
        <w:t>$39.9), followed by </w:t>
      </w:r>
      <w:r>
        <w:rPr>
          <w:i/>
          <w:sz w:val="22"/>
        </w:rPr>
        <w:t>bedrooms </w:t>
      </w:r>
      <w:r>
        <w:rPr>
          <w:sz w:val="22"/>
        </w:rPr>
        <w:t>($14.5) and </w:t>
      </w:r>
      <w:r>
        <w:rPr>
          <w:i/>
          <w:sz w:val="22"/>
        </w:rPr>
        <w:t>beds </w:t>
      </w:r>
      <w:r>
        <w:rPr>
          <w:sz w:val="22"/>
        </w:rPr>
        <w:t>($11.5). Together with </w:t>
      </w:r>
      <w:r>
        <w:rPr>
          <w:i/>
          <w:sz w:val="22"/>
        </w:rPr>
        <w:t>host_name </w:t>
      </w:r>
      <w:r>
        <w:rPr>
          <w:sz w:val="22"/>
        </w:rPr>
        <w:t>and </w:t>
      </w:r>
      <w:r>
        <w:rPr>
          <w:i/>
          <w:sz w:val="22"/>
        </w:rPr>
        <w:t>minimum_minimum_nights </w:t>
      </w:r>
      <w:r>
        <w:rPr>
          <w:sz w:val="22"/>
        </w:rPr>
        <w:t>the top five features carry about 52% of total importance.</w:t>
      </w:r>
    </w:p>
    <w:p>
      <w:pPr>
        <w:pStyle w:val="ListParagraph"/>
        <w:numPr>
          <w:ilvl w:val="1"/>
          <w:numId w:val="2"/>
        </w:numPr>
        <w:tabs>
          <w:tab w:pos="760" w:val="left" w:leader="none"/>
        </w:tabs>
        <w:spacing w:line="276" w:lineRule="auto" w:before="116" w:after="0"/>
        <w:ind w:left="760" w:right="479" w:hanging="320"/>
        <w:jc w:val="both"/>
        <w:rPr>
          <w:sz w:val="22"/>
        </w:rPr>
      </w:pPr>
      <w:r>
        <w:rPr>
          <w:b/>
          <w:sz w:val="22"/>
        </w:rPr>
        <w:t>Direction of effects. </w:t>
      </w:r>
      <w:r>
        <w:rPr>
          <w:sz w:val="22"/>
        </w:rPr>
        <w:t>Listings for 1–2 guests are pushed down by $27 on average, while those for 8 or more guests are pushed up by $165. Listings with a minimum stay of 7 nights or more lose </w:t>
      </w:r>
      <w:r>
        <w:rPr>
          <w:sz w:val="22"/>
        </w:rPr>
        <w:t>about</w:t>
      </w:r>
    </w:p>
    <w:p>
      <w:pPr>
        <w:pStyle w:val="BodyText"/>
        <w:spacing w:line="276" w:lineRule="auto" w:before="0"/>
        <w:jc w:val="both"/>
      </w:pPr>
      <w:r>
        <w:rPr/>
        <w:t>$15 relative to short-stay listings. Homes with 3 or more bathrooms gain about $30 (only 3 test </w:t>
      </w:r>
      <w:r>
        <w:rPr>
          <w:spacing w:val="-2"/>
        </w:rPr>
        <w:t>listings).</w:t>
      </w:r>
    </w:p>
    <w:p>
      <w:pPr>
        <w:pStyle w:val="ListParagraph"/>
        <w:numPr>
          <w:ilvl w:val="1"/>
          <w:numId w:val="2"/>
        </w:numPr>
        <w:tabs>
          <w:tab w:pos="760" w:val="left" w:leader="none"/>
        </w:tabs>
        <w:spacing w:line="276" w:lineRule="auto" w:before="115" w:after="0"/>
        <w:ind w:left="760" w:right="479" w:hanging="320"/>
        <w:jc w:val="both"/>
        <w:rPr>
          <w:sz w:val="22"/>
        </w:rPr>
      </w:pPr>
      <w:r>
        <w:rPr>
          <w:b/>
          <w:sz w:val="22"/>
        </w:rPr>
        <w:t>Room type has a small direct effect. </w:t>
      </w:r>
      <w:r>
        <w:rPr>
          <w:i/>
          <w:sz w:val="22"/>
        </w:rPr>
        <w:t>room_type </w:t>
      </w:r>
      <w:r>
        <w:rPr>
          <w:sz w:val="22"/>
        </w:rPr>
        <w:t>averages +$2.8 for entire homes and −$6.0 for private rooms; the entire-home price premium is mostly explained by capacity (guests, bedrooms, </w:t>
      </w:r>
      <w:r>
        <w:rPr>
          <w:spacing w:val="-2"/>
          <w:sz w:val="22"/>
        </w:rPr>
        <w:t>beds).</w:t>
      </w:r>
    </w:p>
    <w:p>
      <w:pPr>
        <w:pStyle w:val="ListParagraph"/>
        <w:numPr>
          <w:ilvl w:val="1"/>
          <w:numId w:val="2"/>
        </w:numPr>
        <w:tabs>
          <w:tab w:pos="760" w:val="left" w:leader="none"/>
        </w:tabs>
        <w:spacing w:line="276" w:lineRule="auto" w:before="116" w:after="0"/>
        <w:ind w:left="760" w:right="479" w:hanging="320"/>
        <w:jc w:val="both"/>
        <w:rPr>
          <w:sz w:val="22"/>
        </w:rPr>
      </w:pPr>
      <w:r>
        <w:rPr>
          <w:b/>
          <w:sz w:val="22"/>
        </w:rPr>
        <w:t>A feature to question: host_name. </w:t>
      </w:r>
      <w:r>
        <w:rPr>
          <w:sz w:val="22"/>
        </w:rPr>
        <w:t>It ranks fourth (mean |SHAP| $9.4). It is a personal name (153 distinct values in 458 listings, 73 of them shared by several listings), so the model partly </w:t>
      </w:r>
      <w:r>
        <w:rPr>
          <w:sz w:val="22"/>
        </w:rPr>
        <w:t>memorises which hosts charge more. Dropping it lowers out-of-fold RZ only from 0.534 to 0.514, so it adds little real signal and is best removed in the final system.</w:t>
      </w:r>
    </w:p>
    <w:p>
      <w:pPr>
        <w:pStyle w:val="Heading3"/>
        <w:numPr>
          <w:ilvl w:val="0"/>
          <w:numId w:val="2"/>
        </w:numPr>
        <w:tabs>
          <w:tab w:pos="710" w:val="left" w:leader="none"/>
        </w:tabs>
        <w:spacing w:line="240" w:lineRule="auto" w:before="157" w:after="0"/>
        <w:ind w:left="710" w:right="0" w:hanging="230"/>
        <w:jc w:val="both"/>
      </w:pPr>
      <w:r>
        <w:rPr/>
        <w:t>Explainability with </w:t>
      </w:r>
      <w:r>
        <w:rPr>
          <w:spacing w:val="-4"/>
        </w:rPr>
        <w:t>LIME</w:t>
      </w:r>
    </w:p>
    <w:p>
      <w:pPr>
        <w:pStyle w:val="BodyText"/>
        <w:spacing w:line="276" w:lineRule="auto" w:before="95"/>
        <w:ind w:left="480"/>
        <w:jc w:val="both"/>
      </w:pPr>
      <w:r>
        <w:rPr>
          <w:i/>
        </w:rPr>
        <w:t>lime.lime_tabular </w:t>
      </w:r>
      <w:r>
        <w:rPr/>
        <w:t>explains one listing at a time by fitting a weighted local linear model to 5,000 perturbed copies of it. Three test listings were explained: the most accurately predicted, one </w:t>
      </w:r>
      <w:r>
        <w:rPr/>
        <w:t>with median error, and the one with the largest error. Blue bars raise and orange bars lower the predicted </w:t>
      </w:r>
      <w:r>
        <w:rPr>
          <w:spacing w:val="-2"/>
        </w:rPr>
        <w:t>price.</w:t>
      </w:r>
    </w:p>
    <w:p>
      <w:pPr>
        <w:pStyle w:val="BodyText"/>
        <w:spacing w:after="0" w:line="276" w:lineRule="auto"/>
        <w:jc w:val="both"/>
        <w:sectPr>
          <w:pgSz w:w="12240" w:h="15840"/>
          <w:pgMar w:header="0" w:footer="680" w:top="1420" w:bottom="880" w:left="1080" w:right="1080"/>
        </w:sectPr>
      </w:pPr>
    </w:p>
    <w:p>
      <w:pPr>
        <w:spacing w:line="240" w:lineRule="auto"/>
        <w:ind w:left="606" w:right="0" w:firstLine="0"/>
        <w:rPr>
          <w:sz w:val="20"/>
        </w:rPr>
      </w:pPr>
      <w:r>
        <w:rPr>
          <w:sz w:val="20"/>
        </w:rPr>
        <w:drawing>
          <wp:inline distT="0" distB="0" distL="0" distR="0">
            <wp:extent cx="5776722" cy="216427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76722" cy="2164270"/>
                    </a:xfrm>
                    <a:prstGeom prst="rect">
                      <a:avLst/>
                    </a:prstGeom>
                  </pic:spPr>
                </pic:pic>
              </a:graphicData>
            </a:graphic>
          </wp:inline>
        </w:drawing>
      </w:r>
      <w:r>
        <w:rPr>
          <w:sz w:val="20"/>
        </w:rPr>
      </w:r>
    </w:p>
    <w:p>
      <w:pPr>
        <w:spacing w:before="134"/>
        <w:ind w:left="480" w:right="0" w:firstLine="0"/>
        <w:jc w:val="both"/>
        <w:rPr>
          <w:i/>
          <w:sz w:val="19"/>
        </w:rPr>
      </w:pPr>
      <w:r>
        <w:rPr>
          <w:i/>
          <w:sz w:val="19"/>
        </w:rPr>
        <w:t>Figure 4. LIME local explanations (top 7 features) for three test </w:t>
      </w:r>
      <w:r>
        <w:rPr>
          <w:i/>
          <w:spacing w:val="-2"/>
          <w:sz w:val="19"/>
        </w:rPr>
        <w:t>listings.</w:t>
      </w:r>
    </w:p>
    <w:p>
      <w:pPr>
        <w:pStyle w:val="BodyText"/>
        <w:spacing w:before="9"/>
        <w:ind w:left="0" w:right="0"/>
        <w:rPr>
          <w:i/>
          <w:sz w:val="17"/>
        </w:rPr>
      </w:pPr>
    </w:p>
    <w:tbl>
      <w:tblPr>
        <w:tblW w:w="0" w:type="auto"/>
        <w:jc w:val="left"/>
        <w:tblInd w:w="5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448"/>
        <w:gridCol w:w="1080"/>
        <w:gridCol w:w="1008"/>
        <w:gridCol w:w="2592"/>
        <w:gridCol w:w="1080"/>
        <w:gridCol w:w="864"/>
      </w:tblGrid>
      <w:tr>
        <w:trPr>
          <w:trHeight w:val="550" w:hRule="atLeast"/>
        </w:trPr>
        <w:tc>
          <w:tcPr>
            <w:tcW w:w="2448" w:type="dxa"/>
            <w:shd w:val="clear" w:color="auto" w:fill="E6EBF2"/>
          </w:tcPr>
          <w:p>
            <w:pPr>
              <w:pStyle w:val="TableParagraph"/>
              <w:spacing w:before="177"/>
              <w:rPr>
                <w:b/>
                <w:sz w:val="18"/>
              </w:rPr>
            </w:pPr>
            <w:r>
              <w:rPr>
                <w:b/>
                <w:spacing w:val="-2"/>
                <w:sz w:val="18"/>
              </w:rPr>
              <w:t>Listing</w:t>
            </w:r>
          </w:p>
        </w:tc>
        <w:tc>
          <w:tcPr>
            <w:tcW w:w="1080" w:type="dxa"/>
            <w:shd w:val="clear" w:color="auto" w:fill="E6EBF2"/>
          </w:tcPr>
          <w:p>
            <w:pPr>
              <w:pStyle w:val="TableParagraph"/>
              <w:spacing w:before="177"/>
              <w:rPr>
                <w:b/>
                <w:sz w:val="18"/>
              </w:rPr>
            </w:pPr>
            <w:r>
              <w:rPr>
                <w:b/>
                <w:spacing w:val="-2"/>
                <w:sz w:val="18"/>
              </w:rPr>
              <w:t>Actual</w:t>
            </w:r>
          </w:p>
        </w:tc>
        <w:tc>
          <w:tcPr>
            <w:tcW w:w="1008" w:type="dxa"/>
            <w:shd w:val="clear" w:color="auto" w:fill="E6EBF2"/>
          </w:tcPr>
          <w:p>
            <w:pPr>
              <w:pStyle w:val="TableParagraph"/>
              <w:spacing w:before="177"/>
              <w:rPr>
                <w:b/>
                <w:sz w:val="18"/>
              </w:rPr>
            </w:pPr>
            <w:r>
              <w:rPr>
                <w:b/>
                <w:spacing w:val="-2"/>
                <w:sz w:val="18"/>
              </w:rPr>
              <w:t>Predicted</w:t>
            </w:r>
          </w:p>
        </w:tc>
        <w:tc>
          <w:tcPr>
            <w:tcW w:w="2592" w:type="dxa"/>
            <w:shd w:val="clear" w:color="auto" w:fill="E6EBF2"/>
          </w:tcPr>
          <w:p>
            <w:pPr>
              <w:pStyle w:val="TableParagraph"/>
              <w:spacing w:before="177"/>
              <w:rPr>
                <w:b/>
                <w:sz w:val="18"/>
              </w:rPr>
            </w:pPr>
            <w:r>
              <w:rPr>
                <w:b/>
                <w:sz w:val="18"/>
              </w:rPr>
              <w:t>Top LIME </w:t>
            </w:r>
            <w:r>
              <w:rPr>
                <w:b/>
                <w:spacing w:val="-2"/>
                <w:sz w:val="18"/>
              </w:rPr>
              <w:t>features</w:t>
            </w:r>
          </w:p>
        </w:tc>
        <w:tc>
          <w:tcPr>
            <w:tcW w:w="1080" w:type="dxa"/>
            <w:shd w:val="clear" w:color="auto" w:fill="E6EBF2"/>
          </w:tcPr>
          <w:p>
            <w:pPr>
              <w:pStyle w:val="TableParagraph"/>
              <w:spacing w:line="254" w:lineRule="auto"/>
              <w:ind w:left="118" w:right="168"/>
              <w:rPr>
                <w:b/>
                <w:sz w:val="18"/>
              </w:rPr>
            </w:pPr>
            <w:r>
              <w:rPr>
                <w:b/>
                <w:sz w:val="18"/>
              </w:rPr>
              <w:t>SHAP</w:t>
            </w:r>
            <w:r>
              <w:rPr>
                <w:b/>
                <w:spacing w:val="-12"/>
                <w:sz w:val="18"/>
              </w:rPr>
              <w:t> </w:t>
            </w:r>
            <w:r>
              <w:rPr>
                <w:b/>
                <w:sz w:val="18"/>
              </w:rPr>
              <w:t>top 5 overlap</w:t>
            </w:r>
          </w:p>
        </w:tc>
        <w:tc>
          <w:tcPr>
            <w:tcW w:w="864" w:type="dxa"/>
            <w:shd w:val="clear" w:color="auto" w:fill="E6EBF2"/>
          </w:tcPr>
          <w:p>
            <w:pPr>
              <w:pStyle w:val="TableParagraph"/>
              <w:ind w:left="118"/>
              <w:rPr>
                <w:b/>
                <w:sz w:val="18"/>
              </w:rPr>
            </w:pPr>
            <w:r>
              <w:rPr>
                <w:b/>
                <w:spacing w:val="-4"/>
                <w:sz w:val="18"/>
              </w:rPr>
              <w:t>LIME</w:t>
            </w:r>
          </w:p>
          <w:p>
            <w:pPr>
              <w:pStyle w:val="TableParagraph"/>
              <w:spacing w:before="13"/>
              <w:ind w:left="118"/>
              <w:rPr>
                <w:b/>
                <w:sz w:val="18"/>
              </w:rPr>
            </w:pPr>
            <w:r>
              <w:rPr>
                <w:b/>
                <w:sz w:val="18"/>
              </w:rPr>
              <w:t>local </w:t>
            </w:r>
            <w:r>
              <w:rPr>
                <w:b/>
                <w:spacing w:val="-5"/>
                <w:sz w:val="18"/>
              </w:rPr>
              <w:t>R²</w:t>
            </w:r>
          </w:p>
        </w:tc>
      </w:tr>
      <w:tr>
        <w:trPr>
          <w:trHeight w:val="550" w:hRule="atLeast"/>
        </w:trPr>
        <w:tc>
          <w:tcPr>
            <w:tcW w:w="2448" w:type="dxa"/>
          </w:tcPr>
          <w:p>
            <w:pPr>
              <w:pStyle w:val="TableParagraph"/>
              <w:spacing w:line="254" w:lineRule="auto"/>
              <w:rPr>
                <w:sz w:val="18"/>
              </w:rPr>
            </w:pPr>
            <w:r>
              <w:rPr>
                <w:sz w:val="18"/>
              </w:rPr>
              <w:t>Case</w:t>
            </w:r>
            <w:r>
              <w:rPr>
                <w:spacing w:val="-8"/>
                <w:sz w:val="18"/>
              </w:rPr>
              <w:t> </w:t>
            </w:r>
            <w:r>
              <w:rPr>
                <w:sz w:val="18"/>
              </w:rPr>
              <w:t>1:</w:t>
            </w:r>
            <w:r>
              <w:rPr>
                <w:spacing w:val="-8"/>
                <w:sz w:val="18"/>
              </w:rPr>
              <w:t> </w:t>
            </w:r>
            <w:r>
              <w:rPr>
                <w:sz w:val="18"/>
              </w:rPr>
              <w:t>3</w:t>
            </w:r>
            <w:r>
              <w:rPr>
                <w:spacing w:val="-8"/>
                <w:sz w:val="18"/>
              </w:rPr>
              <w:t> </w:t>
            </w:r>
            <w:r>
              <w:rPr>
                <w:sz w:val="18"/>
              </w:rPr>
              <w:t>guests,</w:t>
            </w:r>
            <w:r>
              <w:rPr>
                <w:spacing w:val="-8"/>
                <w:sz w:val="18"/>
              </w:rPr>
              <w:t> </w:t>
            </w:r>
            <w:r>
              <w:rPr>
                <w:sz w:val="18"/>
              </w:rPr>
              <w:t>1</w:t>
            </w:r>
            <w:r>
              <w:rPr>
                <w:spacing w:val="-8"/>
                <w:sz w:val="18"/>
              </w:rPr>
              <w:t> </w:t>
            </w:r>
            <w:r>
              <w:rPr>
                <w:sz w:val="18"/>
              </w:rPr>
              <w:t>bedroom, Fourth Ward</w:t>
            </w:r>
          </w:p>
        </w:tc>
        <w:tc>
          <w:tcPr>
            <w:tcW w:w="1080" w:type="dxa"/>
          </w:tcPr>
          <w:p>
            <w:pPr>
              <w:pStyle w:val="TableParagraph"/>
              <w:spacing w:before="177"/>
              <w:rPr>
                <w:sz w:val="18"/>
              </w:rPr>
            </w:pPr>
            <w:r>
              <w:rPr>
                <w:spacing w:val="-2"/>
                <w:sz w:val="18"/>
              </w:rPr>
              <w:t>$173.70</w:t>
            </w:r>
          </w:p>
        </w:tc>
        <w:tc>
          <w:tcPr>
            <w:tcW w:w="1008" w:type="dxa"/>
          </w:tcPr>
          <w:p>
            <w:pPr>
              <w:pStyle w:val="TableParagraph"/>
              <w:spacing w:before="177"/>
              <w:rPr>
                <w:sz w:val="18"/>
              </w:rPr>
            </w:pPr>
            <w:r>
              <w:rPr>
                <w:spacing w:val="-2"/>
                <w:sz w:val="18"/>
              </w:rPr>
              <w:t>$172.68</w:t>
            </w:r>
          </w:p>
        </w:tc>
        <w:tc>
          <w:tcPr>
            <w:tcW w:w="2592" w:type="dxa"/>
          </w:tcPr>
          <w:p>
            <w:pPr>
              <w:pStyle w:val="TableParagraph"/>
              <w:spacing w:line="254" w:lineRule="auto"/>
              <w:rPr>
                <w:sz w:val="18"/>
              </w:rPr>
            </w:pPr>
            <w:r>
              <w:rPr>
                <w:sz w:val="18"/>
              </w:rPr>
              <w:t>accommodates, bedrooms, </w:t>
            </w:r>
            <w:r>
              <w:rPr>
                <w:spacing w:val="-2"/>
                <w:sz w:val="18"/>
              </w:rPr>
              <w:t>minimum_minimum_nights</w:t>
            </w:r>
          </w:p>
        </w:tc>
        <w:tc>
          <w:tcPr>
            <w:tcW w:w="1080" w:type="dxa"/>
          </w:tcPr>
          <w:p>
            <w:pPr>
              <w:pStyle w:val="TableParagraph"/>
              <w:spacing w:before="177"/>
              <w:ind w:left="118"/>
              <w:rPr>
                <w:sz w:val="18"/>
              </w:rPr>
            </w:pPr>
            <w:r>
              <w:rPr>
                <w:sz w:val="18"/>
              </w:rPr>
              <w:t>3 of </w:t>
            </w:r>
            <w:r>
              <w:rPr>
                <w:spacing w:val="-10"/>
                <w:sz w:val="18"/>
              </w:rPr>
              <w:t>5</w:t>
            </w:r>
          </w:p>
        </w:tc>
        <w:tc>
          <w:tcPr>
            <w:tcW w:w="864" w:type="dxa"/>
          </w:tcPr>
          <w:p>
            <w:pPr>
              <w:pStyle w:val="TableParagraph"/>
              <w:spacing w:before="177"/>
              <w:ind w:left="118"/>
              <w:rPr>
                <w:sz w:val="18"/>
              </w:rPr>
            </w:pPr>
            <w:r>
              <w:rPr>
                <w:spacing w:val="-4"/>
                <w:sz w:val="18"/>
              </w:rPr>
              <w:t>0.05</w:t>
            </w:r>
          </w:p>
        </w:tc>
      </w:tr>
      <w:tr>
        <w:trPr>
          <w:trHeight w:val="550" w:hRule="atLeast"/>
        </w:trPr>
        <w:tc>
          <w:tcPr>
            <w:tcW w:w="2448" w:type="dxa"/>
          </w:tcPr>
          <w:p>
            <w:pPr>
              <w:pStyle w:val="TableParagraph"/>
              <w:spacing w:line="254" w:lineRule="auto"/>
              <w:rPr>
                <w:sz w:val="18"/>
              </w:rPr>
            </w:pPr>
            <w:r>
              <w:rPr>
                <w:sz w:val="18"/>
              </w:rPr>
              <w:t>Case</w:t>
            </w:r>
            <w:r>
              <w:rPr>
                <w:spacing w:val="-8"/>
                <w:sz w:val="18"/>
              </w:rPr>
              <w:t> </w:t>
            </w:r>
            <w:r>
              <w:rPr>
                <w:sz w:val="18"/>
              </w:rPr>
              <w:t>2:</w:t>
            </w:r>
            <w:r>
              <w:rPr>
                <w:spacing w:val="-8"/>
                <w:sz w:val="18"/>
              </w:rPr>
              <w:t> </w:t>
            </w:r>
            <w:r>
              <w:rPr>
                <w:sz w:val="18"/>
              </w:rPr>
              <w:t>4</w:t>
            </w:r>
            <w:r>
              <w:rPr>
                <w:spacing w:val="-8"/>
                <w:sz w:val="18"/>
              </w:rPr>
              <w:t> </w:t>
            </w:r>
            <w:r>
              <w:rPr>
                <w:sz w:val="18"/>
              </w:rPr>
              <w:t>guests,</w:t>
            </w:r>
            <w:r>
              <w:rPr>
                <w:spacing w:val="-8"/>
                <w:sz w:val="18"/>
              </w:rPr>
              <w:t> </w:t>
            </w:r>
            <w:r>
              <w:rPr>
                <w:sz w:val="18"/>
              </w:rPr>
              <w:t>4</w:t>
            </w:r>
            <w:r>
              <w:rPr>
                <w:spacing w:val="-8"/>
                <w:sz w:val="18"/>
              </w:rPr>
              <w:t> </w:t>
            </w:r>
            <w:r>
              <w:rPr>
                <w:sz w:val="18"/>
              </w:rPr>
              <w:t>bedrooms, First Ward</w:t>
            </w:r>
          </w:p>
        </w:tc>
        <w:tc>
          <w:tcPr>
            <w:tcW w:w="1080" w:type="dxa"/>
          </w:tcPr>
          <w:p>
            <w:pPr>
              <w:pStyle w:val="TableParagraph"/>
              <w:spacing w:before="177"/>
              <w:rPr>
                <w:sz w:val="18"/>
              </w:rPr>
            </w:pPr>
            <w:r>
              <w:rPr>
                <w:spacing w:val="-2"/>
                <w:sz w:val="18"/>
              </w:rPr>
              <w:t>$213.80</w:t>
            </w:r>
          </w:p>
        </w:tc>
        <w:tc>
          <w:tcPr>
            <w:tcW w:w="1008" w:type="dxa"/>
          </w:tcPr>
          <w:p>
            <w:pPr>
              <w:pStyle w:val="TableParagraph"/>
              <w:spacing w:before="177"/>
              <w:rPr>
                <w:sz w:val="18"/>
              </w:rPr>
            </w:pPr>
            <w:r>
              <w:rPr>
                <w:spacing w:val="-2"/>
                <w:sz w:val="18"/>
              </w:rPr>
              <w:t>$187.05</w:t>
            </w:r>
          </w:p>
        </w:tc>
        <w:tc>
          <w:tcPr>
            <w:tcW w:w="2592" w:type="dxa"/>
          </w:tcPr>
          <w:p>
            <w:pPr>
              <w:pStyle w:val="TableParagraph"/>
              <w:spacing w:line="254" w:lineRule="auto"/>
              <w:ind w:right="470"/>
              <w:rPr>
                <w:sz w:val="18"/>
              </w:rPr>
            </w:pPr>
            <w:r>
              <w:rPr>
                <w:sz w:val="18"/>
              </w:rPr>
              <w:t>accommodates,</w:t>
            </w:r>
            <w:r>
              <w:rPr>
                <w:spacing w:val="-12"/>
                <w:sz w:val="18"/>
              </w:rPr>
              <w:t> </w:t>
            </w:r>
            <w:r>
              <w:rPr>
                <w:sz w:val="18"/>
              </w:rPr>
              <w:t>host_name, </w:t>
            </w:r>
            <w:r>
              <w:rPr>
                <w:spacing w:val="-2"/>
                <w:sz w:val="18"/>
              </w:rPr>
              <w:t>last/first_review</w:t>
            </w:r>
          </w:p>
        </w:tc>
        <w:tc>
          <w:tcPr>
            <w:tcW w:w="1080" w:type="dxa"/>
          </w:tcPr>
          <w:p>
            <w:pPr>
              <w:pStyle w:val="TableParagraph"/>
              <w:spacing w:before="177"/>
              <w:ind w:left="118"/>
              <w:rPr>
                <w:sz w:val="18"/>
              </w:rPr>
            </w:pPr>
            <w:r>
              <w:rPr>
                <w:sz w:val="18"/>
              </w:rPr>
              <w:t>2 of </w:t>
            </w:r>
            <w:r>
              <w:rPr>
                <w:spacing w:val="-10"/>
                <w:sz w:val="18"/>
              </w:rPr>
              <w:t>5</w:t>
            </w:r>
          </w:p>
        </w:tc>
        <w:tc>
          <w:tcPr>
            <w:tcW w:w="864" w:type="dxa"/>
          </w:tcPr>
          <w:p>
            <w:pPr>
              <w:pStyle w:val="TableParagraph"/>
              <w:spacing w:before="177"/>
              <w:ind w:left="118"/>
              <w:rPr>
                <w:sz w:val="18"/>
              </w:rPr>
            </w:pPr>
            <w:r>
              <w:rPr>
                <w:spacing w:val="-4"/>
                <w:sz w:val="18"/>
              </w:rPr>
              <w:t>0.26</w:t>
            </w:r>
          </w:p>
        </w:tc>
      </w:tr>
      <w:tr>
        <w:trPr>
          <w:trHeight w:val="550" w:hRule="atLeast"/>
        </w:trPr>
        <w:tc>
          <w:tcPr>
            <w:tcW w:w="2448" w:type="dxa"/>
          </w:tcPr>
          <w:p>
            <w:pPr>
              <w:pStyle w:val="TableParagraph"/>
              <w:spacing w:line="254" w:lineRule="auto"/>
              <w:ind w:right="149"/>
              <w:rPr>
                <w:sz w:val="18"/>
              </w:rPr>
            </w:pPr>
            <w:r>
              <w:rPr>
                <w:sz w:val="18"/>
              </w:rPr>
              <w:t>Case 3: 13 guests, 6 bedrooms,</w:t>
            </w:r>
            <w:r>
              <w:rPr>
                <w:spacing w:val="-12"/>
                <w:sz w:val="18"/>
              </w:rPr>
              <w:t> </w:t>
            </w:r>
            <w:r>
              <w:rPr>
                <w:sz w:val="18"/>
              </w:rPr>
              <w:t>Thirteenth</w:t>
            </w:r>
            <w:r>
              <w:rPr>
                <w:spacing w:val="-11"/>
                <w:sz w:val="18"/>
              </w:rPr>
              <w:t> </w:t>
            </w:r>
            <w:r>
              <w:rPr>
                <w:sz w:val="18"/>
              </w:rPr>
              <w:t>Ward</w:t>
            </w:r>
          </w:p>
        </w:tc>
        <w:tc>
          <w:tcPr>
            <w:tcW w:w="1080" w:type="dxa"/>
          </w:tcPr>
          <w:p>
            <w:pPr>
              <w:pStyle w:val="TableParagraph"/>
              <w:spacing w:before="177"/>
              <w:rPr>
                <w:sz w:val="18"/>
              </w:rPr>
            </w:pPr>
            <w:r>
              <w:rPr>
                <w:spacing w:val="-2"/>
                <w:sz w:val="18"/>
              </w:rPr>
              <w:t>$1,040.50</w:t>
            </w:r>
          </w:p>
        </w:tc>
        <w:tc>
          <w:tcPr>
            <w:tcW w:w="1008" w:type="dxa"/>
          </w:tcPr>
          <w:p>
            <w:pPr>
              <w:pStyle w:val="TableParagraph"/>
              <w:spacing w:before="177"/>
              <w:rPr>
                <w:sz w:val="18"/>
              </w:rPr>
            </w:pPr>
            <w:r>
              <w:rPr>
                <w:spacing w:val="-2"/>
                <w:sz w:val="18"/>
              </w:rPr>
              <w:t>$642.66</w:t>
            </w:r>
          </w:p>
        </w:tc>
        <w:tc>
          <w:tcPr>
            <w:tcW w:w="2592" w:type="dxa"/>
          </w:tcPr>
          <w:p>
            <w:pPr>
              <w:pStyle w:val="TableParagraph"/>
              <w:spacing w:line="254" w:lineRule="auto"/>
              <w:ind w:right="380"/>
              <w:rPr>
                <w:sz w:val="18"/>
              </w:rPr>
            </w:pPr>
            <w:r>
              <w:rPr>
                <w:sz w:val="18"/>
              </w:rPr>
              <w:t>accommodates,</w:t>
            </w:r>
            <w:r>
              <w:rPr>
                <w:spacing w:val="-12"/>
                <w:sz w:val="18"/>
              </w:rPr>
              <w:t> </w:t>
            </w:r>
            <w:r>
              <w:rPr>
                <w:sz w:val="18"/>
              </w:rPr>
              <w:t>first_review, </w:t>
            </w:r>
            <w:r>
              <w:rPr>
                <w:spacing w:val="-2"/>
                <w:sz w:val="18"/>
              </w:rPr>
              <w:t>bathrooms_text</w:t>
            </w:r>
          </w:p>
        </w:tc>
        <w:tc>
          <w:tcPr>
            <w:tcW w:w="1080" w:type="dxa"/>
          </w:tcPr>
          <w:p>
            <w:pPr>
              <w:pStyle w:val="TableParagraph"/>
              <w:spacing w:before="177"/>
              <w:ind w:left="118"/>
              <w:rPr>
                <w:sz w:val="18"/>
              </w:rPr>
            </w:pPr>
            <w:r>
              <w:rPr>
                <w:sz w:val="18"/>
              </w:rPr>
              <w:t>2 of </w:t>
            </w:r>
            <w:r>
              <w:rPr>
                <w:spacing w:val="-10"/>
                <w:sz w:val="18"/>
              </w:rPr>
              <w:t>5</w:t>
            </w:r>
          </w:p>
        </w:tc>
        <w:tc>
          <w:tcPr>
            <w:tcW w:w="864" w:type="dxa"/>
          </w:tcPr>
          <w:p>
            <w:pPr>
              <w:pStyle w:val="TableParagraph"/>
              <w:spacing w:before="177"/>
              <w:ind w:left="118"/>
              <w:rPr>
                <w:sz w:val="18"/>
              </w:rPr>
            </w:pPr>
            <w:r>
              <w:rPr>
                <w:spacing w:val="-4"/>
                <w:sz w:val="18"/>
              </w:rPr>
              <w:t>0.29</w:t>
            </w:r>
          </w:p>
        </w:tc>
      </w:tr>
    </w:tbl>
    <w:p>
      <w:pPr>
        <w:pStyle w:val="BodyText"/>
        <w:spacing w:line="276" w:lineRule="auto" w:before="128"/>
        <w:ind w:left="480"/>
        <w:jc w:val="both"/>
      </w:pPr>
      <w:r>
        <w:rPr>
          <w:b/>
        </w:rPr>
        <w:t>Interpretation. </w:t>
      </w:r>
      <w:r>
        <w:rPr/>
        <w:t>LIME and SHAP agree on the main story: </w:t>
      </w:r>
      <w:r>
        <w:rPr>
          <w:i/>
        </w:rPr>
        <w:t>accommodates </w:t>
      </w:r>
      <w:r>
        <w:rPr/>
        <w:t>and </w:t>
      </w:r>
      <w:r>
        <w:rPr>
          <w:i/>
        </w:rPr>
        <w:t>bedrooms </w:t>
      </w:r>
      <w:r>
        <w:rPr/>
        <w:t>lead </w:t>
      </w:r>
      <w:r>
        <w:rPr/>
        <w:t>the explanation in every case. The agreement is partial rather than complete (2–3 of the top five features), and</w:t>
      </w:r>
      <w:r>
        <w:rPr>
          <w:spacing w:val="-5"/>
        </w:rPr>
        <w:t> </w:t>
      </w:r>
      <w:r>
        <w:rPr/>
        <w:t>the</w:t>
      </w:r>
      <w:r>
        <w:rPr>
          <w:spacing w:val="-5"/>
        </w:rPr>
        <w:t> </w:t>
      </w:r>
      <w:r>
        <w:rPr/>
        <w:t>local</w:t>
      </w:r>
      <w:r>
        <w:rPr>
          <w:spacing w:val="-5"/>
        </w:rPr>
        <w:t> </w:t>
      </w:r>
      <w:r>
        <w:rPr/>
        <w:t>linear</w:t>
      </w:r>
      <w:r>
        <w:rPr>
          <w:spacing w:val="-5"/>
        </w:rPr>
        <w:t> </w:t>
      </w:r>
      <w:r>
        <w:rPr/>
        <w:t>fit</w:t>
      </w:r>
      <w:r>
        <w:rPr>
          <w:spacing w:val="-5"/>
        </w:rPr>
        <w:t> </w:t>
      </w:r>
      <w:r>
        <w:rPr/>
        <w:t>is</w:t>
      </w:r>
      <w:r>
        <w:rPr>
          <w:spacing w:val="-5"/>
        </w:rPr>
        <w:t> </w:t>
      </w:r>
      <w:r>
        <w:rPr/>
        <w:t>weak</w:t>
      </w:r>
      <w:r>
        <w:rPr>
          <w:spacing w:val="-5"/>
        </w:rPr>
        <w:t> </w:t>
      </w:r>
      <w:r>
        <w:rPr/>
        <w:t>(RZ</w:t>
      </w:r>
      <w:r>
        <w:rPr>
          <w:spacing w:val="-5"/>
        </w:rPr>
        <w:t> </w:t>
      </w:r>
      <w:r>
        <w:rPr/>
        <w:t>of</w:t>
      </w:r>
      <w:r>
        <w:rPr>
          <w:spacing w:val="-5"/>
        </w:rPr>
        <w:t> </w:t>
      </w:r>
      <w:r>
        <w:rPr/>
        <w:t>0.05–0.29),</w:t>
      </w:r>
      <w:r>
        <w:rPr>
          <w:spacing w:val="-5"/>
        </w:rPr>
        <w:t> </w:t>
      </w:r>
      <w:r>
        <w:rPr/>
        <w:t>so</w:t>
      </w:r>
      <w:r>
        <w:rPr>
          <w:spacing w:val="-5"/>
        </w:rPr>
        <w:t> </w:t>
      </w:r>
      <w:r>
        <w:rPr/>
        <w:t>LIME</w:t>
      </w:r>
      <w:r>
        <w:rPr>
          <w:spacing w:val="-5"/>
        </w:rPr>
        <w:t> </w:t>
      </w:r>
      <w:r>
        <w:rPr/>
        <w:t>weights</w:t>
      </w:r>
      <w:r>
        <w:rPr>
          <w:spacing w:val="-5"/>
        </w:rPr>
        <w:t> </w:t>
      </w:r>
      <w:r>
        <w:rPr/>
        <w:t>for</w:t>
      </w:r>
      <w:r>
        <w:rPr>
          <w:spacing w:val="-5"/>
        </w:rPr>
        <w:t> </w:t>
      </w:r>
      <w:r>
        <w:rPr/>
        <w:t>a</w:t>
      </w:r>
      <w:r>
        <w:rPr>
          <w:spacing w:val="-5"/>
        </w:rPr>
        <w:t> </w:t>
      </w:r>
      <w:r>
        <w:rPr/>
        <w:t>single</w:t>
      </w:r>
      <w:r>
        <w:rPr>
          <w:spacing w:val="-5"/>
        </w:rPr>
        <w:t> </w:t>
      </w:r>
      <w:r>
        <w:rPr/>
        <w:t>listing</w:t>
      </w:r>
      <w:r>
        <w:rPr>
          <w:spacing w:val="-5"/>
        </w:rPr>
        <w:t> </w:t>
      </w:r>
      <w:r>
        <w:rPr/>
        <w:t>should</w:t>
      </w:r>
      <w:r>
        <w:rPr>
          <w:spacing w:val="-5"/>
        </w:rPr>
        <w:t> </w:t>
      </w:r>
      <w:r>
        <w:rPr/>
        <w:t>be</w:t>
      </w:r>
      <w:r>
        <w:rPr>
          <w:spacing w:val="-5"/>
        </w:rPr>
        <w:t> </w:t>
      </w:r>
      <w:r>
        <w:rPr/>
        <w:t>read</w:t>
      </w:r>
      <w:r>
        <w:rPr>
          <w:spacing w:val="-5"/>
        </w:rPr>
        <w:t> </w:t>
      </w:r>
      <w:r>
        <w:rPr/>
        <w:t>as rough</w:t>
      </w:r>
      <w:r>
        <w:rPr>
          <w:spacing w:val="16"/>
        </w:rPr>
        <w:t> </w:t>
      </w:r>
      <w:r>
        <w:rPr/>
        <w:t>guidance.</w:t>
      </w:r>
      <w:r>
        <w:rPr>
          <w:spacing w:val="18"/>
        </w:rPr>
        <w:t> </w:t>
      </w:r>
      <w:r>
        <w:rPr/>
        <w:t>In</w:t>
      </w:r>
      <w:r>
        <w:rPr>
          <w:spacing w:val="18"/>
        </w:rPr>
        <w:t> </w:t>
      </w:r>
      <w:r>
        <w:rPr/>
        <w:t>Case</w:t>
      </w:r>
      <w:r>
        <w:rPr>
          <w:spacing w:val="18"/>
        </w:rPr>
        <w:t> </w:t>
      </w:r>
      <w:r>
        <w:rPr/>
        <w:t>3,</w:t>
      </w:r>
      <w:r>
        <w:rPr>
          <w:spacing w:val="18"/>
        </w:rPr>
        <w:t> </w:t>
      </w:r>
      <w:r>
        <w:rPr/>
        <w:t>a</w:t>
      </w:r>
      <w:r>
        <w:rPr>
          <w:spacing w:val="18"/>
        </w:rPr>
        <w:t> </w:t>
      </w:r>
      <w:r>
        <w:rPr/>
        <w:t>large</w:t>
      </w:r>
      <w:r>
        <w:rPr>
          <w:spacing w:val="18"/>
        </w:rPr>
        <w:t> </w:t>
      </w:r>
      <w:r>
        <w:rPr/>
        <w:t>entire</w:t>
      </w:r>
      <w:r>
        <w:rPr>
          <w:spacing w:val="18"/>
        </w:rPr>
        <w:t> </w:t>
      </w:r>
      <w:r>
        <w:rPr/>
        <w:t>home</w:t>
      </w:r>
      <w:r>
        <w:rPr>
          <w:spacing w:val="18"/>
        </w:rPr>
        <w:t> </w:t>
      </w:r>
      <w:r>
        <w:rPr/>
        <w:t>listed</w:t>
      </w:r>
      <w:r>
        <w:rPr>
          <w:spacing w:val="18"/>
        </w:rPr>
        <w:t> </w:t>
      </w:r>
      <w:r>
        <w:rPr/>
        <w:t>at</w:t>
      </w:r>
      <w:r>
        <w:rPr>
          <w:spacing w:val="18"/>
        </w:rPr>
        <w:t> </w:t>
      </w:r>
      <w:r>
        <w:rPr/>
        <w:t>$1,040</w:t>
      </w:r>
      <w:r>
        <w:rPr>
          <w:spacing w:val="18"/>
        </w:rPr>
        <w:t> </w:t>
      </w:r>
      <w:r>
        <w:rPr/>
        <w:t>was</w:t>
      </w:r>
      <w:r>
        <w:rPr>
          <w:spacing w:val="18"/>
        </w:rPr>
        <w:t> </w:t>
      </w:r>
      <w:r>
        <w:rPr/>
        <w:t>predicted</w:t>
      </w:r>
      <w:r>
        <w:rPr>
          <w:spacing w:val="18"/>
        </w:rPr>
        <w:t> </w:t>
      </w:r>
      <w:r>
        <w:rPr/>
        <w:t>at</w:t>
      </w:r>
      <w:r>
        <w:rPr>
          <w:spacing w:val="18"/>
        </w:rPr>
        <w:t> </w:t>
      </w:r>
      <w:r>
        <w:rPr/>
        <w:t>$643:</w:t>
      </w:r>
      <w:r>
        <w:rPr>
          <w:spacing w:val="18"/>
        </w:rPr>
        <w:t> </w:t>
      </w:r>
      <w:r>
        <w:rPr/>
        <w:t>SHAP</w:t>
      </w:r>
      <w:r>
        <w:rPr>
          <w:spacing w:val="18"/>
        </w:rPr>
        <w:t> </w:t>
      </w:r>
      <w:r>
        <w:rPr>
          <w:spacing w:val="-2"/>
        </w:rPr>
        <w:t>credits</w:t>
      </w:r>
    </w:p>
    <w:p>
      <w:pPr>
        <w:pStyle w:val="BodyText"/>
        <w:spacing w:line="276" w:lineRule="auto" w:before="0"/>
        <w:ind w:left="480"/>
        <w:jc w:val="both"/>
      </w:pPr>
      <w:r>
        <w:rPr/>
        <w:t>+$276 to </w:t>
      </w:r>
      <w:r>
        <w:rPr>
          <w:i/>
        </w:rPr>
        <w:t>accommodates</w:t>
      </w:r>
      <w:r>
        <w:rPr/>
        <w:t>, +$63 to </w:t>
      </w:r>
      <w:r>
        <w:rPr>
          <w:i/>
        </w:rPr>
        <w:t>beds </w:t>
      </w:r>
      <w:r>
        <w:rPr/>
        <w:t>and +$51 to </w:t>
      </w:r>
      <w:r>
        <w:rPr>
          <w:i/>
        </w:rPr>
        <w:t>bathrooms</w:t>
      </w:r>
      <w:r>
        <w:rPr/>
        <w:t>, so the model recognises a very large property but under-predicts the extreme upper tail of the price range. LIME also gives large weights </w:t>
      </w:r>
      <w:r>
        <w:rPr/>
        <w:t>to rare text-valued columns (</w:t>
      </w:r>
      <w:r>
        <w:rPr>
          <w:i/>
        </w:rPr>
        <w:t>first_review</w:t>
      </w:r>
      <w:r>
        <w:rPr/>
        <w:t>, </w:t>
      </w:r>
      <w:r>
        <w:rPr>
          <w:i/>
        </w:rPr>
        <w:t>bathrooms_text</w:t>
      </w:r>
      <w:r>
        <w:rPr/>
        <w:t>), which are high-cardinality strings that the model can only memorise, and it is a reason to drop or re-encode them.</w:t>
      </w:r>
    </w:p>
    <w:p>
      <w:pPr>
        <w:pStyle w:val="Heading3"/>
        <w:numPr>
          <w:ilvl w:val="0"/>
          <w:numId w:val="2"/>
        </w:numPr>
        <w:tabs>
          <w:tab w:pos="710" w:val="left" w:leader="none"/>
        </w:tabs>
        <w:spacing w:line="240" w:lineRule="auto" w:before="154" w:after="0"/>
        <w:ind w:left="710" w:right="0" w:hanging="230"/>
        <w:jc w:val="both"/>
      </w:pPr>
      <w:r>
        <w:rPr/>
        <w:t>Fairness Audit with </w:t>
      </w:r>
      <w:r>
        <w:rPr>
          <w:spacing w:val="-2"/>
        </w:rPr>
        <w:t>Fairlearn</w:t>
      </w:r>
    </w:p>
    <w:p>
      <w:pPr>
        <w:pStyle w:val="ListParagraph"/>
        <w:numPr>
          <w:ilvl w:val="1"/>
          <w:numId w:val="2"/>
        </w:numPr>
        <w:tabs>
          <w:tab w:pos="760" w:val="left" w:leader="none"/>
        </w:tabs>
        <w:spacing w:line="276" w:lineRule="auto" w:before="93" w:after="0"/>
        <w:ind w:left="760" w:right="479" w:hanging="320"/>
        <w:jc w:val="both"/>
        <w:rPr>
          <w:sz w:val="22"/>
        </w:rPr>
      </w:pPr>
      <w:r>
        <w:rPr>
          <w:b/>
          <w:sz w:val="22"/>
        </w:rPr>
        <w:t>Sensitive attributes: </w:t>
      </w:r>
      <w:r>
        <w:rPr>
          <w:sz w:val="22"/>
        </w:rPr>
        <w:t>room type (Entire home/apt vs other room types) and </w:t>
      </w:r>
      <w:r>
        <w:rPr>
          <w:sz w:val="22"/>
        </w:rPr>
        <w:t>ward (</w:t>
      </w:r>
      <w:r>
        <w:rPr>
          <w:i/>
          <w:sz w:val="22"/>
        </w:rPr>
        <w:t>neighbourhood_cleansed</w:t>
      </w:r>
      <w:r>
        <w:rPr>
          <w:sz w:val="22"/>
        </w:rPr>
        <w:t>; wards with at least 10 listings).</w:t>
      </w:r>
    </w:p>
    <w:p>
      <w:pPr>
        <w:pStyle w:val="ListParagraph"/>
        <w:numPr>
          <w:ilvl w:val="1"/>
          <w:numId w:val="2"/>
        </w:numPr>
        <w:tabs>
          <w:tab w:pos="760" w:val="left" w:leader="none"/>
        </w:tabs>
        <w:spacing w:line="276" w:lineRule="auto" w:before="117" w:after="0"/>
        <w:ind w:left="760" w:right="479" w:hanging="320"/>
        <w:jc w:val="both"/>
        <w:rPr>
          <w:sz w:val="22"/>
        </w:rPr>
      </w:pPr>
      <w:r>
        <w:rPr>
          <w:b/>
          <w:sz w:val="22"/>
        </w:rPr>
        <w:t>Decision framing. </w:t>
      </w:r>
      <w:r>
        <w:rPr>
          <w:sz w:val="22"/>
        </w:rPr>
        <w:t>Demographic parity and equalized odds need a binary decision. A listing </w:t>
      </w:r>
      <w:r>
        <w:rPr>
          <w:sz w:val="22"/>
        </w:rPr>
        <w:t>is </w:t>
      </w:r>
      <w:r>
        <w:rPr>
          <w:i/>
          <w:sz w:val="22"/>
        </w:rPr>
        <w:t>premium </w:t>
      </w:r>
      <w:r>
        <w:rPr>
          <w:sz w:val="22"/>
        </w:rPr>
        <w:t>when its price is above the dataset median ($145.67); the model “selects” a listing as premium when its predicted price is above the same value.</w:t>
      </w:r>
    </w:p>
    <w:p>
      <w:pPr>
        <w:pStyle w:val="ListParagraph"/>
        <w:numPr>
          <w:ilvl w:val="1"/>
          <w:numId w:val="2"/>
        </w:numPr>
        <w:tabs>
          <w:tab w:pos="760" w:val="left" w:leader="none"/>
        </w:tabs>
        <w:spacing w:line="276" w:lineRule="auto" w:before="116" w:after="0"/>
        <w:ind w:left="760" w:right="479" w:hanging="320"/>
        <w:jc w:val="both"/>
        <w:rPr>
          <w:sz w:val="22"/>
        </w:rPr>
      </w:pPr>
      <w:r>
        <w:rPr>
          <w:b/>
          <w:sz w:val="22"/>
        </w:rPr>
        <w:t>Data. </w:t>
      </w:r>
      <w:r>
        <w:rPr>
          <w:sz w:val="22"/>
        </w:rPr>
        <w:t>5-fold out-of-fold predictions for all 458 listings, because 92 test rows leave too few </w:t>
      </w:r>
      <w:r>
        <w:rPr>
          <w:sz w:val="22"/>
        </w:rPr>
        <w:t>listings per group.</w:t>
      </w:r>
    </w:p>
    <w:p>
      <w:pPr>
        <w:pStyle w:val="ListParagraph"/>
        <w:numPr>
          <w:ilvl w:val="1"/>
          <w:numId w:val="2"/>
        </w:numPr>
        <w:tabs>
          <w:tab w:pos="760" w:val="left" w:leader="none"/>
        </w:tabs>
        <w:spacing w:line="276" w:lineRule="auto" w:before="117" w:after="0"/>
        <w:ind w:left="760" w:right="479" w:hanging="320"/>
        <w:jc w:val="both"/>
        <w:rPr>
          <w:sz w:val="22"/>
        </w:rPr>
      </w:pPr>
      <w:r>
        <w:rPr>
          <w:b/>
          <w:sz w:val="22"/>
        </w:rPr>
        <w:t>Metrics. </w:t>
      </w:r>
      <w:r>
        <w:rPr>
          <w:sz w:val="22"/>
        </w:rPr>
        <w:t>Fairlearn’s demographic parity difference (largest gap in selection rate between </w:t>
      </w:r>
      <w:r>
        <w:rPr>
          <w:sz w:val="22"/>
        </w:rPr>
        <w:t>groups) and equalized odds difference (largest gap in true-positive or false-positive rate), plus group-wise error. A difference above 0.10 is treated as a flag for bias.</w:t>
      </w:r>
    </w:p>
    <w:p>
      <w:pPr>
        <w:pStyle w:val="ListParagraph"/>
        <w:spacing w:after="0" w:line="276" w:lineRule="auto"/>
        <w:jc w:val="both"/>
        <w:rPr>
          <w:sz w:val="22"/>
        </w:rPr>
        <w:sectPr>
          <w:pgSz w:w="12240" w:h="15840"/>
          <w:pgMar w:header="0" w:footer="680" w:top="1620" w:bottom="880" w:left="1080" w:right="1080"/>
        </w:sectPr>
      </w:pPr>
    </w:p>
    <w:tbl>
      <w:tblPr>
        <w:tblW w:w="0" w:type="auto"/>
        <w:jc w:val="left"/>
        <w:tblInd w:w="58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656"/>
        <w:gridCol w:w="576"/>
        <w:gridCol w:w="1008"/>
        <w:gridCol w:w="864"/>
        <w:gridCol w:w="1008"/>
        <w:gridCol w:w="1152"/>
        <w:gridCol w:w="1224"/>
        <w:gridCol w:w="720"/>
        <w:gridCol w:w="720"/>
      </w:tblGrid>
      <w:tr>
        <w:trPr>
          <w:trHeight w:val="770" w:hRule="atLeast"/>
        </w:trPr>
        <w:tc>
          <w:tcPr>
            <w:tcW w:w="1656" w:type="dxa"/>
            <w:shd w:val="clear" w:color="auto" w:fill="E6EBF2"/>
          </w:tcPr>
          <w:p>
            <w:pPr>
              <w:pStyle w:val="TableParagraph"/>
              <w:spacing w:before="79"/>
              <w:ind w:left="0"/>
              <w:rPr>
                <w:sz w:val="18"/>
              </w:rPr>
            </w:pPr>
          </w:p>
          <w:p>
            <w:pPr>
              <w:pStyle w:val="TableParagraph"/>
              <w:spacing w:before="1"/>
              <w:rPr>
                <w:b/>
                <w:sz w:val="18"/>
              </w:rPr>
            </w:pPr>
            <w:r>
              <w:rPr>
                <w:b/>
                <w:sz w:val="18"/>
              </w:rPr>
              <w:t>Room </w:t>
            </w:r>
            <w:r>
              <w:rPr>
                <w:b/>
                <w:spacing w:val="-4"/>
                <w:sz w:val="18"/>
              </w:rPr>
              <w:t>type</w:t>
            </w:r>
          </w:p>
        </w:tc>
        <w:tc>
          <w:tcPr>
            <w:tcW w:w="576" w:type="dxa"/>
            <w:shd w:val="clear" w:color="auto" w:fill="E6EBF2"/>
          </w:tcPr>
          <w:p>
            <w:pPr>
              <w:pStyle w:val="TableParagraph"/>
              <w:spacing w:before="79"/>
              <w:ind w:left="0"/>
              <w:rPr>
                <w:sz w:val="18"/>
              </w:rPr>
            </w:pPr>
          </w:p>
          <w:p>
            <w:pPr>
              <w:pStyle w:val="TableParagraph"/>
              <w:spacing w:before="1"/>
              <w:rPr>
                <w:b/>
                <w:sz w:val="18"/>
              </w:rPr>
            </w:pPr>
            <w:r>
              <w:rPr>
                <w:b/>
                <w:spacing w:val="-10"/>
                <w:sz w:val="18"/>
              </w:rPr>
              <w:t>n</w:t>
            </w:r>
          </w:p>
        </w:tc>
        <w:tc>
          <w:tcPr>
            <w:tcW w:w="1008" w:type="dxa"/>
            <w:shd w:val="clear" w:color="auto" w:fill="E6EBF2"/>
          </w:tcPr>
          <w:p>
            <w:pPr>
              <w:pStyle w:val="TableParagraph"/>
              <w:spacing w:line="254" w:lineRule="auto" w:before="177"/>
              <w:ind w:right="435"/>
              <w:rPr>
                <w:b/>
                <w:sz w:val="18"/>
              </w:rPr>
            </w:pPr>
            <w:r>
              <w:rPr>
                <w:b/>
                <w:spacing w:val="-4"/>
                <w:sz w:val="18"/>
              </w:rPr>
              <w:t>Mean </w:t>
            </w:r>
            <w:r>
              <w:rPr>
                <w:b/>
                <w:spacing w:val="-2"/>
                <w:sz w:val="18"/>
              </w:rPr>
              <w:t>price</w:t>
            </w:r>
          </w:p>
        </w:tc>
        <w:tc>
          <w:tcPr>
            <w:tcW w:w="864" w:type="dxa"/>
            <w:shd w:val="clear" w:color="auto" w:fill="E6EBF2"/>
          </w:tcPr>
          <w:p>
            <w:pPr>
              <w:pStyle w:val="TableParagraph"/>
              <w:spacing w:before="79"/>
              <w:ind w:left="0"/>
              <w:rPr>
                <w:sz w:val="18"/>
              </w:rPr>
            </w:pPr>
          </w:p>
          <w:p>
            <w:pPr>
              <w:pStyle w:val="TableParagraph"/>
              <w:spacing w:before="1"/>
              <w:ind w:left="0" w:right="194"/>
              <w:jc w:val="center"/>
              <w:rPr>
                <w:b/>
                <w:sz w:val="18"/>
              </w:rPr>
            </w:pPr>
            <w:r>
              <w:rPr>
                <w:b/>
                <w:spacing w:val="-5"/>
                <w:sz w:val="18"/>
              </w:rPr>
              <w:t>MAE</w:t>
            </w:r>
          </w:p>
        </w:tc>
        <w:tc>
          <w:tcPr>
            <w:tcW w:w="1008" w:type="dxa"/>
            <w:shd w:val="clear" w:color="auto" w:fill="E6EBF2"/>
          </w:tcPr>
          <w:p>
            <w:pPr>
              <w:pStyle w:val="TableParagraph"/>
              <w:spacing w:line="254" w:lineRule="auto" w:before="177"/>
              <w:ind w:right="245"/>
              <w:rPr>
                <w:b/>
                <w:sz w:val="18"/>
              </w:rPr>
            </w:pPr>
            <w:r>
              <w:rPr>
                <w:b/>
                <w:spacing w:val="-2"/>
                <w:sz w:val="18"/>
              </w:rPr>
              <w:t>Relative error</w:t>
            </w:r>
          </w:p>
        </w:tc>
        <w:tc>
          <w:tcPr>
            <w:tcW w:w="1152" w:type="dxa"/>
            <w:shd w:val="clear" w:color="auto" w:fill="E6EBF2"/>
          </w:tcPr>
          <w:p>
            <w:pPr>
              <w:pStyle w:val="TableParagraph"/>
              <w:spacing w:line="254" w:lineRule="auto"/>
              <w:ind w:right="311"/>
              <w:rPr>
                <w:b/>
                <w:sz w:val="18"/>
              </w:rPr>
            </w:pPr>
            <w:r>
              <w:rPr>
                <w:b/>
                <w:spacing w:val="-2"/>
                <w:sz w:val="18"/>
              </w:rPr>
              <w:t>Actual premium </w:t>
            </w:r>
            <w:r>
              <w:rPr>
                <w:b/>
                <w:spacing w:val="-4"/>
                <w:sz w:val="18"/>
              </w:rPr>
              <w:t>rate</w:t>
            </w:r>
          </w:p>
        </w:tc>
        <w:tc>
          <w:tcPr>
            <w:tcW w:w="1224" w:type="dxa"/>
            <w:shd w:val="clear" w:color="auto" w:fill="E6EBF2"/>
          </w:tcPr>
          <w:p>
            <w:pPr>
              <w:pStyle w:val="TableParagraph"/>
              <w:spacing w:line="254" w:lineRule="auto"/>
              <w:ind w:right="353"/>
              <w:jc w:val="both"/>
              <w:rPr>
                <w:b/>
                <w:sz w:val="18"/>
              </w:rPr>
            </w:pPr>
            <w:r>
              <w:rPr>
                <w:b/>
                <w:spacing w:val="-2"/>
                <w:sz w:val="18"/>
              </w:rPr>
              <w:t>Predicted premium </w:t>
            </w:r>
            <w:r>
              <w:rPr>
                <w:b/>
                <w:spacing w:val="-4"/>
                <w:sz w:val="18"/>
              </w:rPr>
              <w:t>rate</w:t>
            </w:r>
          </w:p>
        </w:tc>
        <w:tc>
          <w:tcPr>
            <w:tcW w:w="720" w:type="dxa"/>
            <w:shd w:val="clear" w:color="auto" w:fill="E6EBF2"/>
          </w:tcPr>
          <w:p>
            <w:pPr>
              <w:pStyle w:val="TableParagraph"/>
              <w:spacing w:before="79"/>
              <w:ind w:left="0"/>
              <w:rPr>
                <w:sz w:val="18"/>
              </w:rPr>
            </w:pPr>
          </w:p>
          <w:p>
            <w:pPr>
              <w:pStyle w:val="TableParagraph"/>
              <w:spacing w:before="1"/>
              <w:ind w:left="9" w:right="120"/>
              <w:jc w:val="center"/>
              <w:rPr>
                <w:b/>
                <w:sz w:val="18"/>
              </w:rPr>
            </w:pPr>
            <w:r>
              <w:rPr>
                <w:b/>
                <w:spacing w:val="-5"/>
                <w:sz w:val="18"/>
              </w:rPr>
              <w:t>TPR</w:t>
            </w:r>
          </w:p>
        </w:tc>
        <w:tc>
          <w:tcPr>
            <w:tcW w:w="720" w:type="dxa"/>
            <w:shd w:val="clear" w:color="auto" w:fill="E6EBF2"/>
          </w:tcPr>
          <w:p>
            <w:pPr>
              <w:pStyle w:val="TableParagraph"/>
              <w:spacing w:before="79"/>
              <w:ind w:left="0"/>
              <w:rPr>
                <w:sz w:val="18"/>
              </w:rPr>
            </w:pPr>
          </w:p>
          <w:p>
            <w:pPr>
              <w:pStyle w:val="TableParagraph"/>
              <w:spacing w:before="1"/>
              <w:ind w:left="0" w:right="120"/>
              <w:jc w:val="center"/>
              <w:rPr>
                <w:b/>
                <w:sz w:val="18"/>
              </w:rPr>
            </w:pPr>
            <w:r>
              <w:rPr>
                <w:b/>
                <w:spacing w:val="-5"/>
                <w:sz w:val="18"/>
              </w:rPr>
              <w:t>FPR</w:t>
            </w:r>
          </w:p>
        </w:tc>
      </w:tr>
      <w:tr>
        <w:trPr>
          <w:trHeight w:val="330" w:hRule="atLeast"/>
        </w:trPr>
        <w:tc>
          <w:tcPr>
            <w:tcW w:w="1656" w:type="dxa"/>
          </w:tcPr>
          <w:p>
            <w:pPr>
              <w:pStyle w:val="TableParagraph"/>
              <w:rPr>
                <w:sz w:val="18"/>
              </w:rPr>
            </w:pPr>
            <w:r>
              <w:rPr>
                <w:sz w:val="18"/>
              </w:rPr>
              <w:t>Entire </w:t>
            </w:r>
            <w:r>
              <w:rPr>
                <w:spacing w:val="-2"/>
                <w:sz w:val="18"/>
              </w:rPr>
              <w:t>home/apt</w:t>
            </w:r>
          </w:p>
        </w:tc>
        <w:tc>
          <w:tcPr>
            <w:tcW w:w="576" w:type="dxa"/>
          </w:tcPr>
          <w:p>
            <w:pPr>
              <w:pStyle w:val="TableParagraph"/>
              <w:rPr>
                <w:sz w:val="18"/>
              </w:rPr>
            </w:pPr>
            <w:r>
              <w:rPr>
                <w:spacing w:val="-5"/>
                <w:sz w:val="18"/>
              </w:rPr>
              <w:t>322</w:t>
            </w:r>
          </w:p>
        </w:tc>
        <w:tc>
          <w:tcPr>
            <w:tcW w:w="1008" w:type="dxa"/>
          </w:tcPr>
          <w:p>
            <w:pPr>
              <w:pStyle w:val="TableParagraph"/>
              <w:rPr>
                <w:sz w:val="18"/>
              </w:rPr>
            </w:pPr>
            <w:r>
              <w:rPr>
                <w:spacing w:val="-2"/>
                <w:sz w:val="18"/>
              </w:rPr>
              <w:t>$208.47</w:t>
            </w:r>
          </w:p>
        </w:tc>
        <w:tc>
          <w:tcPr>
            <w:tcW w:w="864" w:type="dxa"/>
          </w:tcPr>
          <w:p>
            <w:pPr>
              <w:pStyle w:val="TableParagraph"/>
              <w:ind w:left="74" w:right="194"/>
              <w:jc w:val="center"/>
              <w:rPr>
                <w:sz w:val="18"/>
              </w:rPr>
            </w:pPr>
            <w:r>
              <w:rPr>
                <w:spacing w:val="-2"/>
                <w:sz w:val="18"/>
              </w:rPr>
              <w:t>$52.25</w:t>
            </w:r>
          </w:p>
        </w:tc>
        <w:tc>
          <w:tcPr>
            <w:tcW w:w="1008" w:type="dxa"/>
          </w:tcPr>
          <w:p>
            <w:pPr>
              <w:pStyle w:val="TableParagraph"/>
              <w:rPr>
                <w:sz w:val="18"/>
              </w:rPr>
            </w:pPr>
            <w:r>
              <w:rPr>
                <w:spacing w:val="-2"/>
                <w:sz w:val="18"/>
              </w:rPr>
              <w:t>25.1%</w:t>
            </w:r>
          </w:p>
        </w:tc>
        <w:tc>
          <w:tcPr>
            <w:tcW w:w="1152" w:type="dxa"/>
          </w:tcPr>
          <w:p>
            <w:pPr>
              <w:pStyle w:val="TableParagraph"/>
              <w:rPr>
                <w:sz w:val="18"/>
              </w:rPr>
            </w:pPr>
            <w:r>
              <w:rPr>
                <w:spacing w:val="-2"/>
                <w:sz w:val="18"/>
              </w:rPr>
              <w:t>63.7%</w:t>
            </w:r>
          </w:p>
        </w:tc>
        <w:tc>
          <w:tcPr>
            <w:tcW w:w="1224" w:type="dxa"/>
          </w:tcPr>
          <w:p>
            <w:pPr>
              <w:pStyle w:val="TableParagraph"/>
              <w:rPr>
                <w:sz w:val="18"/>
              </w:rPr>
            </w:pPr>
            <w:r>
              <w:rPr>
                <w:spacing w:val="-2"/>
                <w:sz w:val="18"/>
              </w:rPr>
              <w:t>73.3%</w:t>
            </w:r>
          </w:p>
        </w:tc>
        <w:tc>
          <w:tcPr>
            <w:tcW w:w="720" w:type="dxa"/>
          </w:tcPr>
          <w:p>
            <w:pPr>
              <w:pStyle w:val="TableParagraph"/>
              <w:ind w:left="54" w:right="120"/>
              <w:jc w:val="center"/>
              <w:rPr>
                <w:sz w:val="18"/>
              </w:rPr>
            </w:pPr>
            <w:r>
              <w:rPr>
                <w:spacing w:val="-2"/>
                <w:sz w:val="18"/>
              </w:rPr>
              <w:t>0.932</w:t>
            </w:r>
          </w:p>
        </w:tc>
        <w:tc>
          <w:tcPr>
            <w:tcW w:w="720" w:type="dxa"/>
          </w:tcPr>
          <w:p>
            <w:pPr>
              <w:pStyle w:val="TableParagraph"/>
              <w:ind w:left="54" w:right="120"/>
              <w:jc w:val="center"/>
              <w:rPr>
                <w:sz w:val="18"/>
              </w:rPr>
            </w:pPr>
            <w:r>
              <w:rPr>
                <w:spacing w:val="-2"/>
                <w:sz w:val="18"/>
              </w:rPr>
              <w:t>0.385</w:t>
            </w:r>
          </w:p>
        </w:tc>
      </w:tr>
      <w:tr>
        <w:trPr>
          <w:trHeight w:val="330" w:hRule="atLeast"/>
        </w:trPr>
        <w:tc>
          <w:tcPr>
            <w:tcW w:w="1656" w:type="dxa"/>
          </w:tcPr>
          <w:p>
            <w:pPr>
              <w:pStyle w:val="TableParagraph"/>
              <w:rPr>
                <w:sz w:val="18"/>
              </w:rPr>
            </w:pPr>
            <w:r>
              <w:rPr>
                <w:sz w:val="18"/>
              </w:rPr>
              <w:t>Other room </w:t>
            </w:r>
            <w:r>
              <w:rPr>
                <w:spacing w:val="-2"/>
                <w:sz w:val="18"/>
              </w:rPr>
              <w:t>types</w:t>
            </w:r>
          </w:p>
        </w:tc>
        <w:tc>
          <w:tcPr>
            <w:tcW w:w="576" w:type="dxa"/>
          </w:tcPr>
          <w:p>
            <w:pPr>
              <w:pStyle w:val="TableParagraph"/>
              <w:rPr>
                <w:sz w:val="18"/>
              </w:rPr>
            </w:pPr>
            <w:r>
              <w:rPr>
                <w:spacing w:val="-5"/>
                <w:sz w:val="18"/>
              </w:rPr>
              <w:t>136</w:t>
            </w:r>
          </w:p>
        </w:tc>
        <w:tc>
          <w:tcPr>
            <w:tcW w:w="1008" w:type="dxa"/>
          </w:tcPr>
          <w:p>
            <w:pPr>
              <w:pStyle w:val="TableParagraph"/>
              <w:rPr>
                <w:sz w:val="18"/>
              </w:rPr>
            </w:pPr>
            <w:r>
              <w:rPr>
                <w:spacing w:val="-2"/>
                <w:sz w:val="18"/>
              </w:rPr>
              <w:t>$102.93</w:t>
            </w:r>
          </w:p>
        </w:tc>
        <w:tc>
          <w:tcPr>
            <w:tcW w:w="864" w:type="dxa"/>
          </w:tcPr>
          <w:p>
            <w:pPr>
              <w:pStyle w:val="TableParagraph"/>
              <w:ind w:left="74" w:right="194"/>
              <w:jc w:val="center"/>
              <w:rPr>
                <w:sz w:val="18"/>
              </w:rPr>
            </w:pPr>
            <w:r>
              <w:rPr>
                <w:spacing w:val="-2"/>
                <w:sz w:val="18"/>
              </w:rPr>
              <w:t>$30.60</w:t>
            </w:r>
          </w:p>
        </w:tc>
        <w:tc>
          <w:tcPr>
            <w:tcW w:w="1008" w:type="dxa"/>
          </w:tcPr>
          <w:p>
            <w:pPr>
              <w:pStyle w:val="TableParagraph"/>
              <w:rPr>
                <w:sz w:val="18"/>
              </w:rPr>
            </w:pPr>
            <w:r>
              <w:rPr>
                <w:spacing w:val="-2"/>
                <w:sz w:val="18"/>
              </w:rPr>
              <w:t>29.7%</w:t>
            </w:r>
          </w:p>
        </w:tc>
        <w:tc>
          <w:tcPr>
            <w:tcW w:w="1152" w:type="dxa"/>
          </w:tcPr>
          <w:p>
            <w:pPr>
              <w:pStyle w:val="TableParagraph"/>
              <w:rPr>
                <w:sz w:val="18"/>
              </w:rPr>
            </w:pPr>
            <w:r>
              <w:rPr>
                <w:spacing w:val="-2"/>
                <w:sz w:val="18"/>
              </w:rPr>
              <w:t>17.6%</w:t>
            </w:r>
          </w:p>
        </w:tc>
        <w:tc>
          <w:tcPr>
            <w:tcW w:w="1224" w:type="dxa"/>
          </w:tcPr>
          <w:p>
            <w:pPr>
              <w:pStyle w:val="TableParagraph"/>
              <w:rPr>
                <w:sz w:val="18"/>
              </w:rPr>
            </w:pPr>
            <w:r>
              <w:rPr>
                <w:spacing w:val="-2"/>
                <w:sz w:val="18"/>
              </w:rPr>
              <w:t>21.3%</w:t>
            </w:r>
          </w:p>
        </w:tc>
        <w:tc>
          <w:tcPr>
            <w:tcW w:w="720" w:type="dxa"/>
          </w:tcPr>
          <w:p>
            <w:pPr>
              <w:pStyle w:val="TableParagraph"/>
              <w:ind w:left="54" w:right="120"/>
              <w:jc w:val="center"/>
              <w:rPr>
                <w:sz w:val="18"/>
              </w:rPr>
            </w:pPr>
            <w:r>
              <w:rPr>
                <w:spacing w:val="-2"/>
                <w:sz w:val="18"/>
              </w:rPr>
              <w:t>0.917</w:t>
            </w:r>
          </w:p>
        </w:tc>
        <w:tc>
          <w:tcPr>
            <w:tcW w:w="720" w:type="dxa"/>
          </w:tcPr>
          <w:p>
            <w:pPr>
              <w:pStyle w:val="TableParagraph"/>
              <w:ind w:left="54" w:right="120"/>
              <w:jc w:val="center"/>
              <w:rPr>
                <w:sz w:val="18"/>
              </w:rPr>
            </w:pPr>
            <w:r>
              <w:rPr>
                <w:spacing w:val="-2"/>
                <w:sz w:val="18"/>
              </w:rPr>
              <w:t>0.062</w:t>
            </w:r>
          </w:p>
        </w:tc>
      </w:tr>
    </w:tbl>
    <w:p>
      <w:pPr>
        <w:pStyle w:val="BodyText"/>
        <w:spacing w:before="46"/>
        <w:ind w:left="0" w:right="0"/>
        <w:rPr>
          <w:sz w:val="20"/>
        </w:rPr>
      </w:pPr>
      <w:r>
        <w:rPr>
          <w:sz w:val="20"/>
        </w:rPr>
        <w:drawing>
          <wp:anchor distT="0" distB="0" distL="0" distR="0" allowOverlap="1" layoutInCell="1" locked="0" behindDoc="1" simplePos="0" relativeHeight="487588864">
            <wp:simplePos x="0" y="0"/>
            <wp:positionH relativeFrom="page">
              <wp:posOffset>1074790</wp:posOffset>
            </wp:positionH>
            <wp:positionV relativeFrom="paragraph">
              <wp:posOffset>190726</wp:posOffset>
            </wp:positionV>
            <wp:extent cx="5704713" cy="217227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04713" cy="2172271"/>
                    </a:xfrm>
                    <a:prstGeom prst="rect">
                      <a:avLst/>
                    </a:prstGeom>
                  </pic:spPr>
                </pic:pic>
              </a:graphicData>
            </a:graphic>
          </wp:anchor>
        </w:drawing>
      </w:r>
    </w:p>
    <w:p>
      <w:pPr>
        <w:spacing w:before="153"/>
        <w:ind w:left="480" w:right="0" w:firstLine="0"/>
        <w:jc w:val="left"/>
        <w:rPr>
          <w:i/>
          <w:sz w:val="19"/>
        </w:rPr>
      </w:pPr>
      <w:r>
        <w:rPr>
          <w:i/>
          <w:sz w:val="19"/>
        </w:rPr>
        <w:t>Figure 5. Fairness audit: decision rates by room type (left) and relative prediction error by ward </w:t>
      </w:r>
      <w:r>
        <w:rPr>
          <w:i/>
          <w:spacing w:val="-2"/>
          <w:sz w:val="19"/>
        </w:rPr>
        <w:t>(right).</w:t>
      </w:r>
    </w:p>
    <w:p>
      <w:pPr>
        <w:pStyle w:val="BodyText"/>
        <w:spacing w:before="5"/>
        <w:ind w:left="0" w:right="0"/>
        <w:rPr>
          <w:i/>
          <w:sz w:val="19"/>
        </w:rPr>
      </w:pPr>
    </w:p>
    <w:p>
      <w:pPr>
        <w:pStyle w:val="Heading4"/>
      </w:pPr>
      <w:r>
        <w:rPr/>
        <w:t>Fairness </w:t>
      </w:r>
      <w:r>
        <w:rPr>
          <w:spacing w:val="-2"/>
        </w:rPr>
        <w:t>report.</w:t>
      </w:r>
    </w:p>
    <w:p>
      <w:pPr>
        <w:pStyle w:val="ListParagraph"/>
        <w:numPr>
          <w:ilvl w:val="1"/>
          <w:numId w:val="2"/>
        </w:numPr>
        <w:tabs>
          <w:tab w:pos="759" w:val="left" w:leader="none"/>
        </w:tabs>
        <w:spacing w:line="240" w:lineRule="auto" w:before="156" w:after="0"/>
        <w:ind w:left="759" w:right="0" w:hanging="319"/>
        <w:jc w:val="both"/>
        <w:rPr>
          <w:sz w:val="22"/>
        </w:rPr>
      </w:pPr>
      <w:r>
        <w:rPr>
          <w:b/>
          <w:sz w:val="22"/>
        </w:rPr>
        <w:t>Room</w:t>
      </w:r>
      <w:r>
        <w:rPr>
          <w:b/>
          <w:spacing w:val="16"/>
          <w:sz w:val="22"/>
        </w:rPr>
        <w:t> </w:t>
      </w:r>
      <w:r>
        <w:rPr>
          <w:b/>
          <w:sz w:val="22"/>
        </w:rPr>
        <w:t>type:</w:t>
      </w:r>
      <w:r>
        <w:rPr>
          <w:b/>
          <w:spacing w:val="16"/>
          <w:sz w:val="22"/>
        </w:rPr>
        <w:t> </w:t>
      </w:r>
      <w:r>
        <w:rPr>
          <w:b/>
          <w:sz w:val="22"/>
        </w:rPr>
        <w:t>demographic</w:t>
      </w:r>
      <w:r>
        <w:rPr>
          <w:b/>
          <w:spacing w:val="16"/>
          <w:sz w:val="22"/>
        </w:rPr>
        <w:t> </w:t>
      </w:r>
      <w:r>
        <w:rPr>
          <w:b/>
          <w:sz w:val="22"/>
        </w:rPr>
        <w:t>parity</w:t>
      </w:r>
      <w:r>
        <w:rPr>
          <w:b/>
          <w:spacing w:val="16"/>
          <w:sz w:val="22"/>
        </w:rPr>
        <w:t> </w:t>
      </w:r>
      <w:r>
        <w:rPr>
          <w:b/>
          <w:sz w:val="22"/>
        </w:rPr>
        <w:t>difference</w:t>
      </w:r>
      <w:r>
        <w:rPr>
          <w:b/>
          <w:spacing w:val="16"/>
          <w:sz w:val="22"/>
        </w:rPr>
        <w:t> </w:t>
      </w:r>
      <w:r>
        <w:rPr>
          <w:b/>
          <w:sz w:val="22"/>
        </w:rPr>
        <w:t>=</w:t>
      </w:r>
      <w:r>
        <w:rPr>
          <w:b/>
          <w:spacing w:val="16"/>
          <w:sz w:val="22"/>
        </w:rPr>
        <w:t> </w:t>
      </w:r>
      <w:r>
        <w:rPr>
          <w:b/>
          <w:sz w:val="22"/>
        </w:rPr>
        <w:t>0.520,</w:t>
      </w:r>
      <w:r>
        <w:rPr>
          <w:b/>
          <w:spacing w:val="16"/>
          <w:sz w:val="22"/>
        </w:rPr>
        <w:t> </w:t>
      </w:r>
      <w:r>
        <w:rPr>
          <w:b/>
          <w:sz w:val="22"/>
        </w:rPr>
        <w:t>equalized</w:t>
      </w:r>
      <w:r>
        <w:rPr>
          <w:b/>
          <w:spacing w:val="16"/>
          <w:sz w:val="22"/>
        </w:rPr>
        <w:t> </w:t>
      </w:r>
      <w:r>
        <w:rPr>
          <w:b/>
          <w:sz w:val="22"/>
        </w:rPr>
        <w:t>odds</w:t>
      </w:r>
      <w:r>
        <w:rPr>
          <w:b/>
          <w:spacing w:val="16"/>
          <w:sz w:val="22"/>
        </w:rPr>
        <w:t> </w:t>
      </w:r>
      <w:r>
        <w:rPr>
          <w:b/>
          <w:sz w:val="22"/>
        </w:rPr>
        <w:t>difference</w:t>
      </w:r>
      <w:r>
        <w:rPr>
          <w:b/>
          <w:spacing w:val="16"/>
          <w:sz w:val="22"/>
        </w:rPr>
        <w:t> </w:t>
      </w:r>
      <w:r>
        <w:rPr>
          <w:b/>
          <w:sz w:val="22"/>
        </w:rPr>
        <w:t>=</w:t>
      </w:r>
      <w:r>
        <w:rPr>
          <w:b/>
          <w:spacing w:val="16"/>
          <w:sz w:val="22"/>
        </w:rPr>
        <w:t> </w:t>
      </w:r>
      <w:r>
        <w:rPr>
          <w:b/>
          <w:sz w:val="22"/>
        </w:rPr>
        <w:t>0.322.</w:t>
      </w:r>
      <w:r>
        <w:rPr>
          <w:b/>
          <w:spacing w:val="16"/>
          <w:sz w:val="22"/>
        </w:rPr>
        <w:t> </w:t>
      </w:r>
      <w:r>
        <w:rPr>
          <w:sz w:val="22"/>
        </w:rPr>
        <w:t>Of</w:t>
      </w:r>
      <w:r>
        <w:rPr>
          <w:spacing w:val="16"/>
          <w:sz w:val="22"/>
        </w:rPr>
        <w:t> </w:t>
      </w:r>
      <w:r>
        <w:rPr>
          <w:spacing w:val="-5"/>
          <w:sz w:val="22"/>
        </w:rPr>
        <w:t>the</w:t>
      </w:r>
    </w:p>
    <w:p>
      <w:pPr>
        <w:pStyle w:val="BodyText"/>
        <w:spacing w:line="276" w:lineRule="auto" w:before="37"/>
        <w:jc w:val="both"/>
      </w:pPr>
      <w:r>
        <w:rPr/>
        <w:t>0.520</w:t>
      </w:r>
      <w:r>
        <w:rPr>
          <w:spacing w:val="-4"/>
        </w:rPr>
        <w:t> </w:t>
      </w:r>
      <w:r>
        <w:rPr/>
        <w:t>parity</w:t>
      </w:r>
      <w:r>
        <w:rPr>
          <w:spacing w:val="-4"/>
        </w:rPr>
        <w:t> </w:t>
      </w:r>
      <w:r>
        <w:rPr/>
        <w:t>gap,</w:t>
      </w:r>
      <w:r>
        <w:rPr>
          <w:spacing w:val="-4"/>
        </w:rPr>
        <w:t> </w:t>
      </w:r>
      <w:r>
        <w:rPr/>
        <w:t>0.460</w:t>
      </w:r>
      <w:r>
        <w:rPr>
          <w:spacing w:val="-4"/>
        </w:rPr>
        <w:t> </w:t>
      </w:r>
      <w:r>
        <w:rPr/>
        <w:t>is</w:t>
      </w:r>
      <w:r>
        <w:rPr>
          <w:spacing w:val="-4"/>
        </w:rPr>
        <w:t> </w:t>
      </w:r>
      <w:r>
        <w:rPr/>
        <w:t>a</w:t>
      </w:r>
      <w:r>
        <w:rPr>
          <w:spacing w:val="-4"/>
        </w:rPr>
        <w:t> </w:t>
      </w:r>
      <w:r>
        <w:rPr/>
        <w:t>real</w:t>
      </w:r>
      <w:r>
        <w:rPr>
          <w:spacing w:val="-4"/>
        </w:rPr>
        <w:t> </w:t>
      </w:r>
      <w:r>
        <w:rPr/>
        <w:t>difference</w:t>
      </w:r>
      <w:r>
        <w:rPr>
          <w:spacing w:val="-4"/>
        </w:rPr>
        <w:t> </w:t>
      </w:r>
      <w:r>
        <w:rPr/>
        <w:t>in</w:t>
      </w:r>
      <w:r>
        <w:rPr>
          <w:spacing w:val="-4"/>
        </w:rPr>
        <w:t> </w:t>
      </w:r>
      <w:r>
        <w:rPr/>
        <w:t>how</w:t>
      </w:r>
      <w:r>
        <w:rPr>
          <w:spacing w:val="-4"/>
        </w:rPr>
        <w:t> </w:t>
      </w:r>
      <w:r>
        <w:rPr/>
        <w:t>often</w:t>
      </w:r>
      <w:r>
        <w:rPr>
          <w:spacing w:val="-4"/>
        </w:rPr>
        <w:t> </w:t>
      </w:r>
      <w:r>
        <w:rPr/>
        <w:t>each</w:t>
      </w:r>
      <w:r>
        <w:rPr>
          <w:spacing w:val="-4"/>
        </w:rPr>
        <w:t> </w:t>
      </w:r>
      <w:r>
        <w:rPr/>
        <w:t>group</w:t>
      </w:r>
      <w:r>
        <w:rPr>
          <w:spacing w:val="-4"/>
        </w:rPr>
        <w:t> </w:t>
      </w:r>
      <w:r>
        <w:rPr/>
        <w:t>is</w:t>
      </w:r>
      <w:r>
        <w:rPr>
          <w:spacing w:val="-4"/>
        </w:rPr>
        <w:t> </w:t>
      </w:r>
      <w:r>
        <w:rPr/>
        <w:t>expensive</w:t>
      </w:r>
      <w:r>
        <w:rPr>
          <w:spacing w:val="-4"/>
        </w:rPr>
        <w:t> </w:t>
      </w:r>
      <w:r>
        <w:rPr/>
        <w:t>(63.7%</w:t>
      </w:r>
      <w:r>
        <w:rPr>
          <w:spacing w:val="-4"/>
        </w:rPr>
        <w:t> </w:t>
      </w:r>
      <w:r>
        <w:rPr/>
        <w:t>vs</w:t>
      </w:r>
      <w:r>
        <w:rPr>
          <w:spacing w:val="-4"/>
        </w:rPr>
        <w:t> </w:t>
      </w:r>
      <w:r>
        <w:rPr/>
        <w:t>17.6%</w:t>
      </w:r>
      <w:r>
        <w:rPr>
          <w:spacing w:val="-4"/>
        </w:rPr>
        <w:t> </w:t>
      </w:r>
      <w:r>
        <w:rPr/>
        <w:t>of listings are premium), so only about 0.06 is added by the model. The equalized-odds gap </w:t>
      </w:r>
      <w:r>
        <w:rPr/>
        <w:t>comes from false positives: an entire home that is actually below the median price is wrongly </w:t>
      </w:r>
      <w:r>
        <w:rPr/>
        <w:t>flagged premium</w:t>
      </w:r>
      <w:r>
        <w:rPr>
          <w:spacing w:val="-2"/>
        </w:rPr>
        <w:t> </w:t>
      </w:r>
      <w:r>
        <w:rPr/>
        <w:t>38.5%</w:t>
      </w:r>
      <w:r>
        <w:rPr>
          <w:spacing w:val="-2"/>
        </w:rPr>
        <w:t> </w:t>
      </w:r>
      <w:r>
        <w:rPr/>
        <w:t>of</w:t>
      </w:r>
      <w:r>
        <w:rPr>
          <w:spacing w:val="-2"/>
        </w:rPr>
        <w:t> </w:t>
      </w:r>
      <w:r>
        <w:rPr/>
        <w:t>the</w:t>
      </w:r>
      <w:r>
        <w:rPr>
          <w:spacing w:val="-2"/>
        </w:rPr>
        <w:t> </w:t>
      </w:r>
      <w:r>
        <w:rPr/>
        <w:t>time,</w:t>
      </w:r>
      <w:r>
        <w:rPr>
          <w:spacing w:val="-2"/>
        </w:rPr>
        <w:t> </w:t>
      </w:r>
      <w:r>
        <w:rPr/>
        <w:t>against</w:t>
      </w:r>
      <w:r>
        <w:rPr>
          <w:spacing w:val="-2"/>
        </w:rPr>
        <w:t> </w:t>
      </w:r>
      <w:r>
        <w:rPr/>
        <w:t>6.2%</w:t>
      </w:r>
      <w:r>
        <w:rPr>
          <w:spacing w:val="-2"/>
        </w:rPr>
        <w:t> </w:t>
      </w:r>
      <w:r>
        <w:rPr/>
        <w:t>for</w:t>
      </w:r>
      <w:r>
        <w:rPr>
          <w:spacing w:val="-2"/>
        </w:rPr>
        <w:t> </w:t>
      </w:r>
      <w:r>
        <w:rPr/>
        <w:t>other</w:t>
      </w:r>
      <w:r>
        <w:rPr>
          <w:spacing w:val="-2"/>
        </w:rPr>
        <w:t> </w:t>
      </w:r>
      <w:r>
        <w:rPr/>
        <w:t>rooms,</w:t>
      </w:r>
      <w:r>
        <w:rPr>
          <w:spacing w:val="-2"/>
        </w:rPr>
        <w:t> </w:t>
      </w:r>
      <w:r>
        <w:rPr/>
        <w:t>while</w:t>
      </w:r>
      <w:r>
        <w:rPr>
          <w:spacing w:val="-2"/>
        </w:rPr>
        <w:t> </w:t>
      </w:r>
      <w:r>
        <w:rPr/>
        <w:t>true-positive</w:t>
      </w:r>
      <w:r>
        <w:rPr>
          <w:spacing w:val="-2"/>
        </w:rPr>
        <w:t> </w:t>
      </w:r>
      <w:r>
        <w:rPr/>
        <w:t>rates</w:t>
      </w:r>
      <w:r>
        <w:rPr>
          <w:spacing w:val="-2"/>
        </w:rPr>
        <w:t> </w:t>
      </w:r>
      <w:r>
        <w:rPr/>
        <w:t>are</w:t>
      </w:r>
      <w:r>
        <w:rPr>
          <w:spacing w:val="-2"/>
        </w:rPr>
        <w:t> </w:t>
      </w:r>
      <w:r>
        <w:rPr/>
        <w:t>almost</w:t>
      </w:r>
      <w:r>
        <w:rPr>
          <w:spacing w:val="-2"/>
        </w:rPr>
        <w:t> </w:t>
      </w:r>
      <w:r>
        <w:rPr/>
        <w:t>equal (0.932</w:t>
      </w:r>
      <w:r>
        <w:rPr>
          <w:spacing w:val="80"/>
        </w:rPr>
        <w:t> </w:t>
      </w:r>
      <w:r>
        <w:rPr/>
        <w:t>vs</w:t>
      </w:r>
      <w:r>
        <w:rPr>
          <w:spacing w:val="80"/>
        </w:rPr>
        <w:t> </w:t>
      </w:r>
      <w:r>
        <w:rPr/>
        <w:t>0.917).</w:t>
      </w:r>
      <w:r>
        <w:rPr>
          <w:spacing w:val="80"/>
        </w:rPr>
        <w:t> </w:t>
      </w:r>
      <w:r>
        <w:rPr/>
        <w:t>The</w:t>
      </w:r>
      <w:r>
        <w:rPr>
          <w:spacing w:val="80"/>
        </w:rPr>
        <w:t> </w:t>
      </w:r>
      <w:r>
        <w:rPr/>
        <w:t>model</w:t>
      </w:r>
      <w:r>
        <w:rPr>
          <w:spacing w:val="80"/>
        </w:rPr>
        <w:t> </w:t>
      </w:r>
      <w:r>
        <w:rPr/>
        <w:t>over-predicts</w:t>
      </w:r>
      <w:r>
        <w:rPr>
          <w:spacing w:val="80"/>
        </w:rPr>
        <w:t> </w:t>
      </w:r>
      <w:r>
        <w:rPr/>
        <w:t>other</w:t>
      </w:r>
      <w:r>
        <w:rPr>
          <w:spacing w:val="80"/>
        </w:rPr>
        <w:t> </w:t>
      </w:r>
      <w:r>
        <w:rPr/>
        <w:t>room</w:t>
      </w:r>
      <w:r>
        <w:rPr>
          <w:spacing w:val="80"/>
        </w:rPr>
        <w:t> </w:t>
      </w:r>
      <w:r>
        <w:rPr/>
        <w:t>types</w:t>
      </w:r>
      <w:r>
        <w:rPr>
          <w:spacing w:val="80"/>
        </w:rPr>
        <w:t> </w:t>
      </w:r>
      <w:r>
        <w:rPr/>
        <w:t>by</w:t>
      </w:r>
      <w:r>
        <w:rPr>
          <w:spacing w:val="80"/>
        </w:rPr>
        <w:t> </w:t>
      </w:r>
      <w:r>
        <w:rPr/>
        <w:t>$11.17</w:t>
      </w:r>
      <w:r>
        <w:rPr>
          <w:spacing w:val="80"/>
        </w:rPr>
        <w:t> </w:t>
      </w:r>
      <w:r>
        <w:rPr/>
        <w:t>on</w:t>
      </w:r>
      <w:r>
        <w:rPr>
          <w:spacing w:val="80"/>
        </w:rPr>
        <w:t> </w:t>
      </w:r>
      <w:r>
        <w:rPr/>
        <w:t>average</w:t>
      </w:r>
      <w:r>
        <w:rPr>
          <w:spacing w:val="80"/>
        </w:rPr>
        <w:t> </w:t>
      </w:r>
      <w:r>
        <w:rPr/>
        <w:t>and under-predicts entire homes by $8.36. This exceeds the 0.10 flag level, so bias is detected.</w:t>
      </w:r>
    </w:p>
    <w:p>
      <w:pPr>
        <w:pStyle w:val="ListParagraph"/>
        <w:numPr>
          <w:ilvl w:val="1"/>
          <w:numId w:val="2"/>
        </w:numPr>
        <w:tabs>
          <w:tab w:pos="760" w:val="left" w:leader="none"/>
        </w:tabs>
        <w:spacing w:line="276" w:lineRule="auto" w:before="113" w:after="0"/>
        <w:ind w:left="760" w:right="479" w:hanging="320"/>
        <w:jc w:val="both"/>
        <w:rPr>
          <w:sz w:val="22"/>
        </w:rPr>
      </w:pPr>
      <w:r>
        <w:rPr>
          <w:b/>
          <w:sz w:val="22"/>
        </w:rPr>
        <w:t>Ward: relative error ranges from 14.8% (Eighth Ward) to 52.4% (Fourteenth Ward), </w:t>
      </w:r>
      <w:r>
        <w:rPr>
          <w:sz w:val="22"/>
        </w:rPr>
        <w:t>with Eleventh Ward (16.6%) among the best predicted. The ward parity difference (0.895) and equalized odds difference (0.558) are large, but wards genuinely differ in price (actual premium rate from 3.3% in Eleventh Ward to 100% in Fourth Ward) and several wards have only 10–14 listings, so ward-level decision metrics are unstable and are read as a warning, not as proof of bias.</w:t>
      </w:r>
    </w:p>
    <w:p>
      <w:pPr>
        <w:pStyle w:val="Heading3"/>
        <w:numPr>
          <w:ilvl w:val="0"/>
          <w:numId w:val="2"/>
        </w:numPr>
        <w:tabs>
          <w:tab w:pos="710" w:val="left" w:leader="none"/>
        </w:tabs>
        <w:spacing w:line="240" w:lineRule="auto" w:before="156" w:after="0"/>
        <w:ind w:left="710" w:right="0" w:hanging="230"/>
        <w:jc w:val="both"/>
      </w:pPr>
      <w:r>
        <w:rPr/>
        <w:t>Bias </w:t>
      </w:r>
      <w:r>
        <w:rPr>
          <w:spacing w:val="-2"/>
        </w:rPr>
        <w:t>Mitigation</w:t>
      </w:r>
    </w:p>
    <w:p>
      <w:pPr>
        <w:pStyle w:val="BodyText"/>
        <w:spacing w:line="276" w:lineRule="auto" w:before="95"/>
        <w:ind w:left="480"/>
        <w:jc w:val="both"/>
      </w:pPr>
      <w:r>
        <w:rPr/>
        <w:t>Because bias was detected for room type, three strategies were compared using 3 repeats of 5-</w:t>
      </w:r>
      <w:r>
        <w:rPr/>
        <w:t>fold cross-validation.</w:t>
      </w:r>
      <w:r>
        <w:rPr>
          <w:spacing w:val="-4"/>
        </w:rPr>
        <w:t> </w:t>
      </w:r>
      <w:r>
        <w:rPr/>
        <w:t>Thresholds</w:t>
      </w:r>
      <w:r>
        <w:rPr>
          <w:spacing w:val="-4"/>
        </w:rPr>
        <w:t> </w:t>
      </w:r>
      <w:r>
        <w:rPr/>
        <w:t>are</w:t>
      </w:r>
      <w:r>
        <w:rPr>
          <w:spacing w:val="-4"/>
        </w:rPr>
        <w:t> </w:t>
      </w:r>
      <w:r>
        <w:rPr/>
        <w:t>always</w:t>
      </w:r>
      <w:r>
        <w:rPr>
          <w:spacing w:val="-4"/>
        </w:rPr>
        <w:t> </w:t>
      </w:r>
      <w:r>
        <w:rPr/>
        <w:t>tuned</w:t>
      </w:r>
      <w:r>
        <w:rPr>
          <w:spacing w:val="-4"/>
        </w:rPr>
        <w:t> </w:t>
      </w:r>
      <w:r>
        <w:rPr/>
        <w:t>on</w:t>
      </w:r>
      <w:r>
        <w:rPr>
          <w:spacing w:val="-4"/>
        </w:rPr>
        <w:t> </w:t>
      </w:r>
      <w:r>
        <w:rPr/>
        <w:t>the</w:t>
      </w:r>
      <w:r>
        <w:rPr>
          <w:spacing w:val="-4"/>
        </w:rPr>
        <w:t> </w:t>
      </w:r>
      <w:r>
        <w:rPr/>
        <w:t>training</w:t>
      </w:r>
      <w:r>
        <w:rPr>
          <w:spacing w:val="-4"/>
        </w:rPr>
        <w:t> </w:t>
      </w:r>
      <w:r>
        <w:rPr/>
        <w:t>part</w:t>
      </w:r>
      <w:r>
        <w:rPr>
          <w:spacing w:val="-4"/>
        </w:rPr>
        <w:t> </w:t>
      </w:r>
      <w:r>
        <w:rPr/>
        <w:t>of</w:t>
      </w:r>
      <w:r>
        <w:rPr>
          <w:spacing w:val="-4"/>
        </w:rPr>
        <w:t> </w:t>
      </w:r>
      <w:r>
        <w:rPr/>
        <w:t>each</w:t>
      </w:r>
      <w:r>
        <w:rPr>
          <w:spacing w:val="-4"/>
        </w:rPr>
        <w:t> </w:t>
      </w:r>
      <w:r>
        <w:rPr/>
        <w:t>fold</w:t>
      </w:r>
      <w:r>
        <w:rPr>
          <w:spacing w:val="-4"/>
        </w:rPr>
        <w:t> </w:t>
      </w:r>
      <w:r>
        <w:rPr/>
        <w:t>only.</w:t>
      </w:r>
      <w:r>
        <w:rPr>
          <w:spacing w:val="-4"/>
        </w:rPr>
        <w:t> </w:t>
      </w:r>
      <w:r>
        <w:rPr/>
        <w:t>The</w:t>
      </w:r>
      <w:r>
        <w:rPr>
          <w:spacing w:val="-4"/>
        </w:rPr>
        <w:t> </w:t>
      </w:r>
      <w:r>
        <w:rPr/>
        <w:t>baseline</w:t>
      </w:r>
      <w:r>
        <w:rPr>
          <w:spacing w:val="-4"/>
        </w:rPr>
        <w:t> </w:t>
      </w:r>
      <w:r>
        <w:rPr/>
        <w:t>row</w:t>
      </w:r>
      <w:r>
        <w:rPr>
          <w:spacing w:val="-4"/>
        </w:rPr>
        <w:t> </w:t>
      </w:r>
      <w:r>
        <w:rPr/>
        <w:t>is averaged</w:t>
      </w:r>
      <w:r>
        <w:rPr>
          <w:spacing w:val="-2"/>
        </w:rPr>
        <w:t> </w:t>
      </w:r>
      <w:r>
        <w:rPr/>
        <w:t>over</w:t>
      </w:r>
      <w:r>
        <w:rPr>
          <w:spacing w:val="-2"/>
        </w:rPr>
        <w:t> </w:t>
      </w:r>
      <w:r>
        <w:rPr/>
        <w:t>these</w:t>
      </w:r>
      <w:r>
        <w:rPr>
          <w:spacing w:val="-2"/>
        </w:rPr>
        <w:t> </w:t>
      </w:r>
      <w:r>
        <w:rPr/>
        <w:t>three</w:t>
      </w:r>
      <w:r>
        <w:rPr>
          <w:spacing w:val="-2"/>
        </w:rPr>
        <w:t> </w:t>
      </w:r>
      <w:r>
        <w:rPr/>
        <w:t>fold</w:t>
      </w:r>
      <w:r>
        <w:rPr>
          <w:spacing w:val="-2"/>
        </w:rPr>
        <w:t> </w:t>
      </w:r>
      <w:r>
        <w:rPr/>
        <w:t>seeds,</w:t>
      </w:r>
      <w:r>
        <w:rPr>
          <w:spacing w:val="-2"/>
        </w:rPr>
        <w:t> </w:t>
      </w:r>
      <w:r>
        <w:rPr/>
        <w:t>so</w:t>
      </w:r>
      <w:r>
        <w:rPr>
          <w:spacing w:val="-2"/>
        </w:rPr>
        <w:t> </w:t>
      </w:r>
      <w:r>
        <w:rPr/>
        <w:t>its</w:t>
      </w:r>
      <w:r>
        <w:rPr>
          <w:spacing w:val="-2"/>
        </w:rPr>
        <w:t> </w:t>
      </w:r>
      <w:r>
        <w:rPr/>
        <w:t>equalized-odds</w:t>
      </w:r>
      <w:r>
        <w:rPr>
          <w:spacing w:val="-2"/>
        </w:rPr>
        <w:t> </w:t>
      </w:r>
      <w:r>
        <w:rPr/>
        <w:t>value</w:t>
      </w:r>
      <w:r>
        <w:rPr>
          <w:spacing w:val="-2"/>
        </w:rPr>
        <w:t> </w:t>
      </w:r>
      <w:r>
        <w:rPr/>
        <w:t>(0.354)</w:t>
      </w:r>
      <w:r>
        <w:rPr>
          <w:spacing w:val="-2"/>
        </w:rPr>
        <w:t> </w:t>
      </w:r>
      <w:r>
        <w:rPr/>
        <w:t>differs</w:t>
      </w:r>
      <w:r>
        <w:rPr>
          <w:spacing w:val="-2"/>
        </w:rPr>
        <w:t> </w:t>
      </w:r>
      <w:r>
        <w:rPr/>
        <w:t>slightly</w:t>
      </w:r>
      <w:r>
        <w:rPr>
          <w:spacing w:val="-2"/>
        </w:rPr>
        <w:t> </w:t>
      </w:r>
      <w:r>
        <w:rPr/>
        <w:t>from</w:t>
      </w:r>
      <w:r>
        <w:rPr>
          <w:spacing w:val="-2"/>
        </w:rPr>
        <w:t> </w:t>
      </w:r>
      <w:r>
        <w:rPr/>
        <w:t>the</w:t>
      </w:r>
      <w:r>
        <w:rPr>
          <w:spacing w:val="-2"/>
        </w:rPr>
        <w:t> </w:t>
      </w:r>
      <w:r>
        <w:rPr/>
        <w:t>single audit above (0.322).</w:t>
      </w:r>
    </w:p>
    <w:p>
      <w:pPr>
        <w:pStyle w:val="ListParagraph"/>
        <w:numPr>
          <w:ilvl w:val="1"/>
          <w:numId w:val="2"/>
        </w:numPr>
        <w:tabs>
          <w:tab w:pos="760" w:val="left" w:leader="none"/>
        </w:tabs>
        <w:spacing w:line="276" w:lineRule="auto" w:before="115" w:after="0"/>
        <w:ind w:left="760" w:right="479" w:hanging="320"/>
        <w:jc w:val="both"/>
        <w:rPr>
          <w:sz w:val="22"/>
        </w:rPr>
      </w:pPr>
      <w:r>
        <w:rPr>
          <w:b/>
          <w:sz w:val="22"/>
        </w:rPr>
        <w:t>Pre-processing (reweighing): </w:t>
      </w:r>
      <w:r>
        <w:rPr>
          <w:sz w:val="22"/>
        </w:rPr>
        <w:t>each (room group, premium label) pair is weighted by P(group) P(label) / P(group, label) when training the regressor. A simpler baseline, dropping </w:t>
      </w:r>
      <w:r>
        <w:rPr>
          <w:i/>
          <w:sz w:val="22"/>
        </w:rPr>
        <w:t>room_type </w:t>
      </w:r>
      <w:r>
        <w:rPr>
          <w:sz w:val="22"/>
        </w:rPr>
        <w:t>and </w:t>
      </w:r>
      <w:r>
        <w:rPr>
          <w:i/>
          <w:sz w:val="22"/>
        </w:rPr>
        <w:t>is_entire_home</w:t>
      </w:r>
      <w:r>
        <w:rPr>
          <w:sz w:val="22"/>
        </w:rPr>
        <w:t>, is also shown.</w:t>
      </w:r>
    </w:p>
    <w:p>
      <w:pPr>
        <w:pStyle w:val="ListParagraph"/>
        <w:spacing w:after="0" w:line="276" w:lineRule="auto"/>
        <w:jc w:val="both"/>
        <w:rPr>
          <w:sz w:val="22"/>
        </w:rPr>
        <w:sectPr>
          <w:pgSz w:w="12240" w:h="15840"/>
          <w:pgMar w:header="0" w:footer="680" w:top="1400" w:bottom="880" w:left="1080" w:right="1080"/>
        </w:sectPr>
      </w:pPr>
    </w:p>
    <w:p>
      <w:pPr>
        <w:pStyle w:val="ListParagraph"/>
        <w:numPr>
          <w:ilvl w:val="1"/>
          <w:numId w:val="2"/>
        </w:numPr>
        <w:tabs>
          <w:tab w:pos="760" w:val="left" w:leader="none"/>
        </w:tabs>
        <w:spacing w:line="276" w:lineRule="auto" w:before="69" w:after="0"/>
        <w:ind w:left="760" w:right="479" w:hanging="320"/>
        <w:jc w:val="both"/>
        <w:rPr>
          <w:sz w:val="22"/>
        </w:rPr>
      </w:pPr>
      <w:r>
        <w:rPr>
          <w:b/>
          <w:sz w:val="22"/>
        </w:rPr>
        <w:t>Post-processing (threshold adjustment): </w:t>
      </w:r>
      <w:r>
        <w:rPr>
          <w:sz w:val="22"/>
        </w:rPr>
        <w:t>a separate premium cut-off for each room group, </w:t>
      </w:r>
      <w:r>
        <w:rPr>
          <w:sz w:val="22"/>
        </w:rPr>
        <w:t>chosen either to reduce the equalized-odds difference plus the error rate, or to force equal selection rates (demographic parity).</w:t>
      </w:r>
    </w:p>
    <w:p>
      <w:pPr>
        <w:pStyle w:val="ListParagraph"/>
        <w:numPr>
          <w:ilvl w:val="1"/>
          <w:numId w:val="2"/>
        </w:numPr>
        <w:tabs>
          <w:tab w:pos="760" w:val="left" w:leader="none"/>
        </w:tabs>
        <w:spacing w:line="276" w:lineRule="auto" w:before="116" w:after="0"/>
        <w:ind w:left="760" w:right="479" w:hanging="320"/>
        <w:jc w:val="both"/>
        <w:rPr>
          <w:sz w:val="22"/>
        </w:rPr>
      </w:pPr>
      <w:r>
        <w:rPr>
          <w:b/>
          <w:sz w:val="22"/>
        </w:rPr>
        <w:t>In-processing (fairness constraints in training): </w:t>
      </w:r>
      <w:r>
        <w:rPr>
          <w:sz w:val="22"/>
        </w:rPr>
        <w:t>Fairlearn’s </w:t>
      </w:r>
      <w:r>
        <w:rPr>
          <w:i/>
          <w:sz w:val="22"/>
        </w:rPr>
        <w:t>ExponentiatedGradient </w:t>
      </w:r>
      <w:r>
        <w:rPr>
          <w:sz w:val="22"/>
        </w:rPr>
        <w:t>with </w:t>
      </w:r>
      <w:r>
        <w:rPr>
          <w:sz w:val="22"/>
        </w:rPr>
        <w:t>an equalized-odds constraint is included as an optional extra cell in the notebook; it is not part of the comparison table.</w:t>
      </w:r>
    </w:p>
    <w:p>
      <w:pPr>
        <w:pStyle w:val="BodyText"/>
        <w:spacing w:before="9"/>
        <w:ind w:left="0" w:right="0"/>
        <w:rPr>
          <w:sz w:val="13"/>
        </w:rPr>
      </w:pPr>
    </w:p>
    <w:tbl>
      <w:tblPr>
        <w:tblW w:w="0" w:type="auto"/>
        <w:jc w:val="left"/>
        <w:tblInd w:w="2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3744"/>
        <w:gridCol w:w="1152"/>
        <w:gridCol w:w="1728"/>
        <w:gridCol w:w="1872"/>
        <w:gridCol w:w="1008"/>
      </w:tblGrid>
      <w:tr>
        <w:trPr>
          <w:trHeight w:val="550" w:hRule="atLeast"/>
        </w:trPr>
        <w:tc>
          <w:tcPr>
            <w:tcW w:w="3744" w:type="dxa"/>
            <w:shd w:val="clear" w:color="auto" w:fill="E6EBF2"/>
          </w:tcPr>
          <w:p>
            <w:pPr>
              <w:pStyle w:val="TableParagraph"/>
              <w:spacing w:before="177"/>
              <w:rPr>
                <w:b/>
                <w:sz w:val="18"/>
              </w:rPr>
            </w:pPr>
            <w:r>
              <w:rPr>
                <w:b/>
                <w:spacing w:val="-2"/>
                <w:sz w:val="18"/>
              </w:rPr>
              <w:t>Strategy</w:t>
            </w:r>
          </w:p>
        </w:tc>
        <w:tc>
          <w:tcPr>
            <w:tcW w:w="1152" w:type="dxa"/>
            <w:shd w:val="clear" w:color="auto" w:fill="E6EBF2"/>
          </w:tcPr>
          <w:p>
            <w:pPr>
              <w:pStyle w:val="TableParagraph"/>
              <w:spacing w:before="177"/>
              <w:rPr>
                <w:b/>
                <w:sz w:val="18"/>
              </w:rPr>
            </w:pPr>
            <w:r>
              <w:rPr>
                <w:b/>
                <w:spacing w:val="-2"/>
                <w:sz w:val="18"/>
              </w:rPr>
              <w:t>Accuracy</w:t>
            </w:r>
          </w:p>
        </w:tc>
        <w:tc>
          <w:tcPr>
            <w:tcW w:w="1728" w:type="dxa"/>
            <w:shd w:val="clear" w:color="auto" w:fill="E6EBF2"/>
          </w:tcPr>
          <w:p>
            <w:pPr>
              <w:pStyle w:val="TableParagraph"/>
              <w:spacing w:line="254" w:lineRule="auto"/>
              <w:ind w:right="161"/>
              <w:rPr>
                <w:b/>
                <w:sz w:val="18"/>
              </w:rPr>
            </w:pPr>
            <w:r>
              <w:rPr>
                <w:b/>
                <w:spacing w:val="-2"/>
                <w:sz w:val="18"/>
              </w:rPr>
              <w:t>Equalized-</w:t>
            </w:r>
            <w:r>
              <w:rPr>
                <w:b/>
                <w:spacing w:val="-2"/>
                <w:sz w:val="18"/>
              </w:rPr>
              <w:t>odds </w:t>
            </w:r>
            <w:r>
              <w:rPr>
                <w:b/>
                <w:spacing w:val="-4"/>
                <w:sz w:val="18"/>
              </w:rPr>
              <w:t>diff.</w:t>
            </w:r>
          </w:p>
        </w:tc>
        <w:tc>
          <w:tcPr>
            <w:tcW w:w="1872" w:type="dxa"/>
            <w:shd w:val="clear" w:color="auto" w:fill="E6EBF2"/>
          </w:tcPr>
          <w:p>
            <w:pPr>
              <w:pStyle w:val="TableParagraph"/>
              <w:spacing w:line="254" w:lineRule="auto"/>
              <w:rPr>
                <w:b/>
                <w:sz w:val="18"/>
              </w:rPr>
            </w:pPr>
            <w:r>
              <w:rPr>
                <w:b/>
                <w:spacing w:val="-2"/>
                <w:sz w:val="18"/>
              </w:rPr>
              <w:t>Demographic-</w:t>
            </w:r>
            <w:r>
              <w:rPr>
                <w:b/>
                <w:spacing w:val="-2"/>
                <w:sz w:val="18"/>
              </w:rPr>
              <w:t>parity </w:t>
            </w:r>
            <w:r>
              <w:rPr>
                <w:b/>
                <w:spacing w:val="-4"/>
                <w:sz w:val="18"/>
              </w:rPr>
              <w:t>diff.</w:t>
            </w:r>
          </w:p>
        </w:tc>
        <w:tc>
          <w:tcPr>
            <w:tcW w:w="1008" w:type="dxa"/>
            <w:shd w:val="clear" w:color="auto" w:fill="E6EBF2"/>
          </w:tcPr>
          <w:p>
            <w:pPr>
              <w:pStyle w:val="TableParagraph"/>
              <w:spacing w:before="177"/>
              <w:rPr>
                <w:b/>
                <w:sz w:val="18"/>
              </w:rPr>
            </w:pPr>
            <w:r>
              <w:rPr>
                <w:b/>
                <w:sz w:val="18"/>
              </w:rPr>
              <w:t>MAE </w:t>
            </w:r>
            <w:r>
              <w:rPr>
                <w:b/>
                <w:spacing w:val="-5"/>
                <w:sz w:val="18"/>
              </w:rPr>
              <w:t>($)</w:t>
            </w:r>
          </w:p>
        </w:tc>
      </w:tr>
      <w:tr>
        <w:trPr>
          <w:trHeight w:val="330" w:hRule="atLeast"/>
        </w:trPr>
        <w:tc>
          <w:tcPr>
            <w:tcW w:w="3744" w:type="dxa"/>
          </w:tcPr>
          <w:p>
            <w:pPr>
              <w:pStyle w:val="TableParagraph"/>
              <w:rPr>
                <w:sz w:val="18"/>
              </w:rPr>
            </w:pPr>
            <w:r>
              <w:rPr>
                <w:sz w:val="18"/>
              </w:rPr>
              <w:t>Baseline (no </w:t>
            </w:r>
            <w:r>
              <w:rPr>
                <w:spacing w:val="-2"/>
                <w:sz w:val="18"/>
              </w:rPr>
              <w:t>mitigation)</w:t>
            </w:r>
          </w:p>
        </w:tc>
        <w:tc>
          <w:tcPr>
            <w:tcW w:w="1152" w:type="dxa"/>
          </w:tcPr>
          <w:p>
            <w:pPr>
              <w:pStyle w:val="TableParagraph"/>
              <w:rPr>
                <w:sz w:val="18"/>
              </w:rPr>
            </w:pPr>
            <w:r>
              <w:rPr>
                <w:spacing w:val="-2"/>
                <w:sz w:val="18"/>
              </w:rPr>
              <w:t>0.846</w:t>
            </w:r>
          </w:p>
        </w:tc>
        <w:tc>
          <w:tcPr>
            <w:tcW w:w="1728" w:type="dxa"/>
          </w:tcPr>
          <w:p>
            <w:pPr>
              <w:pStyle w:val="TableParagraph"/>
              <w:rPr>
                <w:sz w:val="18"/>
              </w:rPr>
            </w:pPr>
            <w:r>
              <w:rPr>
                <w:spacing w:val="-2"/>
                <w:sz w:val="18"/>
              </w:rPr>
              <w:t>0.354</w:t>
            </w:r>
          </w:p>
        </w:tc>
        <w:tc>
          <w:tcPr>
            <w:tcW w:w="1872" w:type="dxa"/>
          </w:tcPr>
          <w:p>
            <w:pPr>
              <w:pStyle w:val="TableParagraph"/>
              <w:rPr>
                <w:sz w:val="18"/>
              </w:rPr>
            </w:pPr>
            <w:r>
              <w:rPr>
                <w:spacing w:val="-2"/>
                <w:sz w:val="18"/>
              </w:rPr>
              <w:t>0.536</w:t>
            </w:r>
          </w:p>
        </w:tc>
        <w:tc>
          <w:tcPr>
            <w:tcW w:w="1008" w:type="dxa"/>
          </w:tcPr>
          <w:p>
            <w:pPr>
              <w:pStyle w:val="TableParagraph"/>
              <w:rPr>
                <w:sz w:val="18"/>
              </w:rPr>
            </w:pPr>
            <w:r>
              <w:rPr>
                <w:spacing w:val="-2"/>
                <w:sz w:val="18"/>
              </w:rPr>
              <w:t>45.75</w:t>
            </w:r>
          </w:p>
        </w:tc>
      </w:tr>
      <w:tr>
        <w:trPr>
          <w:trHeight w:val="330" w:hRule="atLeast"/>
        </w:trPr>
        <w:tc>
          <w:tcPr>
            <w:tcW w:w="3744" w:type="dxa"/>
          </w:tcPr>
          <w:p>
            <w:pPr>
              <w:pStyle w:val="TableParagraph"/>
              <w:rPr>
                <w:sz w:val="18"/>
              </w:rPr>
            </w:pPr>
            <w:r>
              <w:rPr>
                <w:sz w:val="18"/>
              </w:rPr>
              <w:t>Drop sensitive </w:t>
            </w:r>
            <w:r>
              <w:rPr>
                <w:spacing w:val="-2"/>
                <w:sz w:val="18"/>
              </w:rPr>
              <w:t>features</w:t>
            </w:r>
          </w:p>
        </w:tc>
        <w:tc>
          <w:tcPr>
            <w:tcW w:w="1152" w:type="dxa"/>
          </w:tcPr>
          <w:p>
            <w:pPr>
              <w:pStyle w:val="TableParagraph"/>
              <w:rPr>
                <w:sz w:val="18"/>
              </w:rPr>
            </w:pPr>
            <w:r>
              <w:rPr>
                <w:spacing w:val="-2"/>
                <w:sz w:val="18"/>
              </w:rPr>
              <w:t>0.854</w:t>
            </w:r>
          </w:p>
        </w:tc>
        <w:tc>
          <w:tcPr>
            <w:tcW w:w="1728" w:type="dxa"/>
          </w:tcPr>
          <w:p>
            <w:pPr>
              <w:pStyle w:val="TableParagraph"/>
              <w:rPr>
                <w:sz w:val="18"/>
              </w:rPr>
            </w:pPr>
            <w:r>
              <w:rPr>
                <w:spacing w:val="-2"/>
                <w:sz w:val="18"/>
              </w:rPr>
              <w:t>0.340</w:t>
            </w:r>
          </w:p>
        </w:tc>
        <w:tc>
          <w:tcPr>
            <w:tcW w:w="1872" w:type="dxa"/>
          </w:tcPr>
          <w:p>
            <w:pPr>
              <w:pStyle w:val="TableParagraph"/>
              <w:rPr>
                <w:sz w:val="18"/>
              </w:rPr>
            </w:pPr>
            <w:r>
              <w:rPr>
                <w:spacing w:val="-2"/>
                <w:sz w:val="18"/>
              </w:rPr>
              <w:t>0.526</w:t>
            </w:r>
          </w:p>
        </w:tc>
        <w:tc>
          <w:tcPr>
            <w:tcW w:w="1008" w:type="dxa"/>
          </w:tcPr>
          <w:p>
            <w:pPr>
              <w:pStyle w:val="TableParagraph"/>
              <w:rPr>
                <w:sz w:val="18"/>
              </w:rPr>
            </w:pPr>
            <w:r>
              <w:rPr>
                <w:spacing w:val="-2"/>
                <w:sz w:val="18"/>
              </w:rPr>
              <w:t>45.77</w:t>
            </w:r>
          </w:p>
        </w:tc>
      </w:tr>
      <w:tr>
        <w:trPr>
          <w:trHeight w:val="330" w:hRule="atLeast"/>
        </w:trPr>
        <w:tc>
          <w:tcPr>
            <w:tcW w:w="3744" w:type="dxa"/>
          </w:tcPr>
          <w:p>
            <w:pPr>
              <w:pStyle w:val="TableParagraph"/>
              <w:rPr>
                <w:sz w:val="18"/>
              </w:rPr>
            </w:pPr>
            <w:r>
              <w:rPr>
                <w:sz w:val="18"/>
              </w:rPr>
              <w:t>Reweighing (pre-</w:t>
            </w:r>
            <w:r>
              <w:rPr>
                <w:spacing w:val="-2"/>
                <w:sz w:val="18"/>
              </w:rPr>
              <w:t>processing)</w:t>
            </w:r>
          </w:p>
        </w:tc>
        <w:tc>
          <w:tcPr>
            <w:tcW w:w="1152" w:type="dxa"/>
          </w:tcPr>
          <w:p>
            <w:pPr>
              <w:pStyle w:val="TableParagraph"/>
              <w:rPr>
                <w:sz w:val="18"/>
              </w:rPr>
            </w:pPr>
            <w:r>
              <w:rPr>
                <w:spacing w:val="-2"/>
                <w:sz w:val="18"/>
              </w:rPr>
              <w:t>0.852</w:t>
            </w:r>
          </w:p>
        </w:tc>
        <w:tc>
          <w:tcPr>
            <w:tcW w:w="1728" w:type="dxa"/>
          </w:tcPr>
          <w:p>
            <w:pPr>
              <w:pStyle w:val="TableParagraph"/>
              <w:rPr>
                <w:sz w:val="18"/>
              </w:rPr>
            </w:pPr>
            <w:r>
              <w:rPr>
                <w:spacing w:val="-2"/>
                <w:sz w:val="18"/>
              </w:rPr>
              <w:t>0.268</w:t>
            </w:r>
          </w:p>
        </w:tc>
        <w:tc>
          <w:tcPr>
            <w:tcW w:w="1872" w:type="dxa"/>
          </w:tcPr>
          <w:p>
            <w:pPr>
              <w:pStyle w:val="TableParagraph"/>
              <w:rPr>
                <w:sz w:val="18"/>
              </w:rPr>
            </w:pPr>
            <w:r>
              <w:rPr>
                <w:spacing w:val="-2"/>
                <w:sz w:val="18"/>
              </w:rPr>
              <w:t>0.475</w:t>
            </w:r>
          </w:p>
        </w:tc>
        <w:tc>
          <w:tcPr>
            <w:tcW w:w="1008" w:type="dxa"/>
          </w:tcPr>
          <w:p>
            <w:pPr>
              <w:pStyle w:val="TableParagraph"/>
              <w:rPr>
                <w:sz w:val="18"/>
              </w:rPr>
            </w:pPr>
            <w:r>
              <w:rPr>
                <w:spacing w:val="-2"/>
                <w:sz w:val="18"/>
              </w:rPr>
              <w:t>46.52</w:t>
            </w:r>
          </w:p>
        </w:tc>
      </w:tr>
      <w:tr>
        <w:trPr>
          <w:trHeight w:val="330" w:hRule="atLeast"/>
        </w:trPr>
        <w:tc>
          <w:tcPr>
            <w:tcW w:w="3744" w:type="dxa"/>
          </w:tcPr>
          <w:p>
            <w:pPr>
              <w:pStyle w:val="TableParagraph"/>
              <w:rPr>
                <w:sz w:val="18"/>
              </w:rPr>
            </w:pPr>
            <w:r>
              <w:rPr>
                <w:sz w:val="18"/>
              </w:rPr>
              <w:t>Group thresholds, equalized odds </w:t>
            </w:r>
            <w:r>
              <w:rPr>
                <w:spacing w:val="-2"/>
                <w:sz w:val="18"/>
              </w:rPr>
              <w:t>(post)</w:t>
            </w:r>
          </w:p>
        </w:tc>
        <w:tc>
          <w:tcPr>
            <w:tcW w:w="1152" w:type="dxa"/>
          </w:tcPr>
          <w:p>
            <w:pPr>
              <w:pStyle w:val="TableParagraph"/>
              <w:rPr>
                <w:sz w:val="18"/>
              </w:rPr>
            </w:pPr>
            <w:r>
              <w:rPr>
                <w:spacing w:val="-2"/>
                <w:sz w:val="18"/>
              </w:rPr>
              <w:t>0.771</w:t>
            </w:r>
          </w:p>
        </w:tc>
        <w:tc>
          <w:tcPr>
            <w:tcW w:w="1728" w:type="dxa"/>
          </w:tcPr>
          <w:p>
            <w:pPr>
              <w:pStyle w:val="TableParagraph"/>
              <w:rPr>
                <w:sz w:val="18"/>
              </w:rPr>
            </w:pPr>
            <w:r>
              <w:rPr>
                <w:spacing w:val="-2"/>
                <w:sz w:val="18"/>
              </w:rPr>
              <w:t>0.118</w:t>
            </w:r>
          </w:p>
        </w:tc>
        <w:tc>
          <w:tcPr>
            <w:tcW w:w="1872" w:type="dxa"/>
          </w:tcPr>
          <w:p>
            <w:pPr>
              <w:pStyle w:val="TableParagraph"/>
              <w:rPr>
                <w:sz w:val="18"/>
              </w:rPr>
            </w:pPr>
            <w:r>
              <w:rPr>
                <w:spacing w:val="-2"/>
                <w:sz w:val="18"/>
              </w:rPr>
              <w:t>0.274</w:t>
            </w:r>
          </w:p>
        </w:tc>
        <w:tc>
          <w:tcPr>
            <w:tcW w:w="1008" w:type="dxa"/>
          </w:tcPr>
          <w:p>
            <w:pPr>
              <w:pStyle w:val="TableParagraph"/>
              <w:rPr>
                <w:sz w:val="18"/>
              </w:rPr>
            </w:pPr>
            <w:r>
              <w:rPr>
                <w:spacing w:val="-2"/>
                <w:sz w:val="18"/>
              </w:rPr>
              <w:t>45.75</w:t>
            </w:r>
          </w:p>
        </w:tc>
      </w:tr>
      <w:tr>
        <w:trPr>
          <w:trHeight w:val="330" w:hRule="atLeast"/>
        </w:trPr>
        <w:tc>
          <w:tcPr>
            <w:tcW w:w="3744" w:type="dxa"/>
          </w:tcPr>
          <w:p>
            <w:pPr>
              <w:pStyle w:val="TableParagraph"/>
              <w:rPr>
                <w:sz w:val="18"/>
              </w:rPr>
            </w:pPr>
            <w:r>
              <w:rPr>
                <w:sz w:val="18"/>
              </w:rPr>
              <w:t>Group thresholds, demographic parity </w:t>
            </w:r>
            <w:r>
              <w:rPr>
                <w:spacing w:val="-2"/>
                <w:sz w:val="18"/>
              </w:rPr>
              <w:t>(post)</w:t>
            </w:r>
          </w:p>
        </w:tc>
        <w:tc>
          <w:tcPr>
            <w:tcW w:w="1152" w:type="dxa"/>
          </w:tcPr>
          <w:p>
            <w:pPr>
              <w:pStyle w:val="TableParagraph"/>
              <w:rPr>
                <w:sz w:val="18"/>
              </w:rPr>
            </w:pPr>
            <w:r>
              <w:rPr>
                <w:spacing w:val="-2"/>
                <w:sz w:val="18"/>
              </w:rPr>
              <w:t>0.719</w:t>
            </w:r>
          </w:p>
        </w:tc>
        <w:tc>
          <w:tcPr>
            <w:tcW w:w="1728" w:type="dxa"/>
          </w:tcPr>
          <w:p>
            <w:pPr>
              <w:pStyle w:val="TableParagraph"/>
              <w:rPr>
                <w:sz w:val="18"/>
              </w:rPr>
            </w:pPr>
            <w:r>
              <w:rPr>
                <w:spacing w:val="-2"/>
                <w:sz w:val="18"/>
              </w:rPr>
              <w:t>0.266</w:t>
            </w:r>
          </w:p>
        </w:tc>
        <w:tc>
          <w:tcPr>
            <w:tcW w:w="1872" w:type="dxa"/>
          </w:tcPr>
          <w:p>
            <w:pPr>
              <w:pStyle w:val="TableParagraph"/>
              <w:rPr>
                <w:sz w:val="18"/>
              </w:rPr>
            </w:pPr>
            <w:r>
              <w:rPr>
                <w:spacing w:val="-2"/>
                <w:sz w:val="18"/>
              </w:rPr>
              <w:t>0.020</w:t>
            </w:r>
          </w:p>
        </w:tc>
        <w:tc>
          <w:tcPr>
            <w:tcW w:w="1008" w:type="dxa"/>
          </w:tcPr>
          <w:p>
            <w:pPr>
              <w:pStyle w:val="TableParagraph"/>
              <w:rPr>
                <w:sz w:val="18"/>
              </w:rPr>
            </w:pPr>
            <w:r>
              <w:rPr>
                <w:spacing w:val="-2"/>
                <w:sz w:val="18"/>
              </w:rPr>
              <w:t>45.75</w:t>
            </w:r>
          </w:p>
        </w:tc>
      </w:tr>
    </w:tbl>
    <w:p>
      <w:pPr>
        <w:pStyle w:val="BodyText"/>
        <w:spacing w:before="34"/>
        <w:ind w:left="0" w:right="0"/>
        <w:rPr>
          <w:sz w:val="20"/>
        </w:rPr>
      </w:pPr>
      <w:r>
        <w:rPr>
          <w:sz w:val="20"/>
        </w:rPr>
        <w:drawing>
          <wp:anchor distT="0" distB="0" distL="0" distR="0" allowOverlap="1" layoutInCell="1" locked="0" behindDoc="1" simplePos="0" relativeHeight="487589376">
            <wp:simplePos x="0" y="0"/>
            <wp:positionH relativeFrom="page">
              <wp:posOffset>1074790</wp:posOffset>
            </wp:positionH>
            <wp:positionV relativeFrom="paragraph">
              <wp:posOffset>183106</wp:posOffset>
            </wp:positionV>
            <wp:extent cx="5704713" cy="218027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04713" cy="2180272"/>
                    </a:xfrm>
                    <a:prstGeom prst="rect">
                      <a:avLst/>
                    </a:prstGeom>
                  </pic:spPr>
                </pic:pic>
              </a:graphicData>
            </a:graphic>
          </wp:anchor>
        </w:drawing>
      </w:r>
    </w:p>
    <w:p>
      <w:pPr>
        <w:spacing w:before="141"/>
        <w:ind w:left="480" w:right="0" w:firstLine="0"/>
        <w:jc w:val="left"/>
        <w:rPr>
          <w:i/>
          <w:sz w:val="19"/>
        </w:rPr>
      </w:pPr>
      <w:r>
        <w:rPr>
          <w:i/>
          <w:sz w:val="19"/>
        </w:rPr>
        <w:t>Figure 6. Effect of each mitigation strategy on the equalized-odds difference (left) and on accuracy </w:t>
      </w:r>
      <w:r>
        <w:rPr>
          <w:i/>
          <w:spacing w:val="-2"/>
          <w:sz w:val="19"/>
        </w:rPr>
        <w:t>(right).</w:t>
      </w:r>
    </w:p>
    <w:p>
      <w:pPr>
        <w:pStyle w:val="BodyText"/>
        <w:spacing w:before="3"/>
        <w:ind w:left="0" w:right="0"/>
        <w:rPr>
          <w:i/>
          <w:sz w:val="19"/>
        </w:rPr>
      </w:pPr>
    </w:p>
    <w:p>
      <w:pPr>
        <w:pStyle w:val="ListParagraph"/>
        <w:numPr>
          <w:ilvl w:val="1"/>
          <w:numId w:val="2"/>
        </w:numPr>
        <w:tabs>
          <w:tab w:pos="760" w:val="left" w:leader="none"/>
        </w:tabs>
        <w:spacing w:line="276" w:lineRule="auto" w:before="0" w:after="0"/>
        <w:ind w:left="760" w:right="479" w:hanging="320"/>
        <w:jc w:val="both"/>
        <w:rPr>
          <w:sz w:val="22"/>
        </w:rPr>
      </w:pPr>
      <w:r>
        <w:rPr>
          <w:b/>
          <w:sz w:val="22"/>
        </w:rPr>
        <w:t>Reweighing </w:t>
      </w:r>
      <w:r>
        <w:rPr>
          <w:sz w:val="22"/>
        </w:rPr>
        <w:t>lowers the equalized-odds difference from 0.354 to 0.268 with no loss of accuracy (0.852) and only $0.77 more MAE. It helps but stays above the 0.10 flag level.</w:t>
      </w:r>
    </w:p>
    <w:p>
      <w:pPr>
        <w:pStyle w:val="ListParagraph"/>
        <w:numPr>
          <w:ilvl w:val="1"/>
          <w:numId w:val="2"/>
        </w:numPr>
        <w:tabs>
          <w:tab w:pos="760" w:val="left" w:leader="none"/>
        </w:tabs>
        <w:spacing w:line="276" w:lineRule="auto" w:before="117" w:after="0"/>
        <w:ind w:left="760" w:right="479" w:hanging="320"/>
        <w:jc w:val="both"/>
        <w:rPr>
          <w:sz w:val="22"/>
        </w:rPr>
      </w:pPr>
      <w:r>
        <w:rPr>
          <w:b/>
          <w:sz w:val="22"/>
        </w:rPr>
        <w:t>Equalized-odds thresholds </w:t>
      </w:r>
      <w:r>
        <w:rPr>
          <w:sz w:val="22"/>
        </w:rPr>
        <w:t>bring the difference down to 0.118, close to the flag level, but cost </w:t>
      </w:r>
      <w:r>
        <w:rPr>
          <w:sz w:val="22"/>
        </w:rPr>
        <w:t>7.5 points of accuracy (0.846 to 0.771).</w:t>
      </w:r>
    </w:p>
    <w:p>
      <w:pPr>
        <w:pStyle w:val="ListParagraph"/>
        <w:numPr>
          <w:ilvl w:val="1"/>
          <w:numId w:val="2"/>
        </w:numPr>
        <w:tabs>
          <w:tab w:pos="760" w:val="left" w:leader="none"/>
        </w:tabs>
        <w:spacing w:line="276" w:lineRule="auto" w:before="117" w:after="0"/>
        <w:ind w:left="760" w:right="479" w:hanging="320"/>
        <w:jc w:val="both"/>
        <w:rPr>
          <w:sz w:val="22"/>
        </w:rPr>
      </w:pPr>
      <w:r>
        <w:rPr>
          <w:b/>
          <w:sz w:val="22"/>
        </w:rPr>
        <w:t>Forcing demographic parity </w:t>
      </w:r>
      <w:r>
        <w:rPr>
          <w:sz w:val="22"/>
        </w:rPr>
        <w:t>reaches a parity difference of 0.020 but accuracy falls to 0.719 and the equalized-odds difference is 0.266. Because entire homes really are more often premium, equal selection rates are the wrong target here.</w:t>
      </w:r>
    </w:p>
    <w:p>
      <w:pPr>
        <w:pStyle w:val="ListParagraph"/>
        <w:numPr>
          <w:ilvl w:val="1"/>
          <w:numId w:val="2"/>
        </w:numPr>
        <w:tabs>
          <w:tab w:pos="760" w:val="left" w:leader="none"/>
        </w:tabs>
        <w:spacing w:line="276" w:lineRule="auto" w:before="116" w:after="0"/>
        <w:ind w:left="760" w:right="479" w:hanging="320"/>
        <w:jc w:val="both"/>
        <w:rPr>
          <w:sz w:val="22"/>
        </w:rPr>
      </w:pPr>
      <w:r>
        <w:rPr>
          <w:b/>
          <w:sz w:val="22"/>
        </w:rPr>
        <w:t>Dropping the sensitive feature </w:t>
      </w:r>
      <w:r>
        <w:rPr>
          <w:sz w:val="22"/>
        </w:rPr>
        <w:t>barely helps (0.340), because capacity features and </w:t>
      </w:r>
      <w:r>
        <w:rPr>
          <w:sz w:val="22"/>
        </w:rPr>
        <w:t>host information still carry room-type information.</w:t>
      </w:r>
    </w:p>
    <w:p>
      <w:pPr>
        <w:pStyle w:val="Heading2"/>
        <w:spacing w:before="241"/>
      </w:pPr>
      <w:r>
        <w:rPr/>
        <w:t>Open-Source </w:t>
      </w:r>
      <w:r>
        <w:rPr>
          <w:spacing w:val="-2"/>
        </w:rPr>
        <w:t>Tools</w:t>
      </w:r>
    </w:p>
    <w:p>
      <w:pPr>
        <w:pStyle w:val="ListParagraph"/>
        <w:numPr>
          <w:ilvl w:val="1"/>
          <w:numId w:val="2"/>
        </w:numPr>
        <w:tabs>
          <w:tab w:pos="759" w:val="left" w:leader="none"/>
        </w:tabs>
        <w:spacing w:line="240" w:lineRule="auto" w:before="137" w:after="0"/>
        <w:ind w:left="759" w:right="0" w:hanging="319"/>
        <w:jc w:val="left"/>
        <w:rPr>
          <w:sz w:val="22"/>
        </w:rPr>
      </w:pPr>
      <w:r>
        <w:rPr>
          <w:b/>
          <w:sz w:val="22"/>
        </w:rPr>
        <w:t>SHAP </w:t>
      </w:r>
      <w:r>
        <w:rPr>
          <w:sz w:val="22"/>
        </w:rPr>
        <w:t>– Global feature importance and dependence plots (exact TreeExplainer </w:t>
      </w:r>
      <w:r>
        <w:rPr>
          <w:spacing w:val="-2"/>
          <w:sz w:val="22"/>
        </w:rPr>
        <w:t>values).</w:t>
      </w:r>
    </w:p>
    <w:p>
      <w:pPr>
        <w:pStyle w:val="ListParagraph"/>
        <w:numPr>
          <w:ilvl w:val="1"/>
          <w:numId w:val="2"/>
        </w:numPr>
        <w:tabs>
          <w:tab w:pos="759" w:val="left" w:leader="none"/>
        </w:tabs>
        <w:spacing w:line="240" w:lineRule="auto" w:before="155" w:after="0"/>
        <w:ind w:left="759" w:right="0" w:hanging="319"/>
        <w:jc w:val="left"/>
        <w:rPr>
          <w:sz w:val="22"/>
        </w:rPr>
      </w:pPr>
      <w:r>
        <w:rPr>
          <w:b/>
          <w:sz w:val="22"/>
        </w:rPr>
        <w:t>LIME </w:t>
      </w:r>
      <w:r>
        <w:rPr>
          <w:sz w:val="22"/>
        </w:rPr>
        <w:t>– Local explanation of individual predictions </w:t>
      </w:r>
      <w:r>
        <w:rPr>
          <w:spacing w:val="-2"/>
          <w:sz w:val="22"/>
        </w:rPr>
        <w:t>(lime_tabular).</w:t>
      </w:r>
    </w:p>
    <w:p>
      <w:pPr>
        <w:pStyle w:val="ListParagraph"/>
        <w:spacing w:after="0" w:line="240" w:lineRule="auto"/>
        <w:jc w:val="left"/>
        <w:rPr>
          <w:sz w:val="22"/>
        </w:rPr>
        <w:sectPr>
          <w:pgSz w:w="12240" w:h="15840"/>
          <w:pgMar w:header="0" w:footer="680" w:top="1360" w:bottom="880" w:left="1080" w:right="1080"/>
        </w:sectPr>
      </w:pPr>
    </w:p>
    <w:p>
      <w:pPr>
        <w:pStyle w:val="ListParagraph"/>
        <w:numPr>
          <w:ilvl w:val="1"/>
          <w:numId w:val="2"/>
        </w:numPr>
        <w:tabs>
          <w:tab w:pos="760" w:val="left" w:leader="none"/>
        </w:tabs>
        <w:spacing w:line="276" w:lineRule="auto" w:before="69" w:after="0"/>
        <w:ind w:left="760" w:right="479" w:hanging="320"/>
        <w:jc w:val="left"/>
        <w:rPr>
          <w:sz w:val="22"/>
        </w:rPr>
      </w:pPr>
      <w:r>
        <w:rPr>
          <w:b/>
          <w:sz w:val="22"/>
        </w:rPr>
        <w:t>Fairlearn </w:t>
      </w:r>
      <w:r>
        <w:rPr>
          <w:sz w:val="22"/>
        </w:rPr>
        <w:t>– Fairness metrics (demographic parity and equalized odds difference, MetricFrame) </w:t>
      </w:r>
      <w:r>
        <w:rPr>
          <w:sz w:val="22"/>
        </w:rPr>
        <w:t>and mitigation methods.</w:t>
      </w:r>
    </w:p>
    <w:p>
      <w:pPr>
        <w:pStyle w:val="ListParagraph"/>
        <w:numPr>
          <w:ilvl w:val="1"/>
          <w:numId w:val="2"/>
        </w:numPr>
        <w:tabs>
          <w:tab w:pos="759" w:val="left" w:leader="none"/>
        </w:tabs>
        <w:spacing w:line="240" w:lineRule="auto" w:before="117" w:after="0"/>
        <w:ind w:left="759" w:right="0" w:hanging="319"/>
        <w:jc w:val="left"/>
        <w:rPr>
          <w:sz w:val="22"/>
        </w:rPr>
      </w:pPr>
      <w:r>
        <w:rPr>
          <w:sz w:val="22"/>
        </w:rPr>
        <w:t>scikit-learn, pandas, matplotlib – modelling, data handling and plots (as in Experiment </w:t>
      </w:r>
      <w:r>
        <w:rPr>
          <w:spacing w:val="-5"/>
          <w:sz w:val="22"/>
        </w:rPr>
        <w:t>4).</w:t>
      </w:r>
    </w:p>
    <w:p>
      <w:pPr>
        <w:pStyle w:val="BodyText"/>
        <w:spacing w:before="26"/>
        <w:ind w:left="0" w:right="0"/>
      </w:pPr>
    </w:p>
    <w:p>
      <w:pPr>
        <w:pStyle w:val="Heading2"/>
        <w:spacing w:before="1"/>
      </w:pPr>
      <w:r>
        <w:rPr>
          <w:spacing w:val="-2"/>
        </w:rPr>
        <w:t>Deliverables</w:t>
      </w:r>
    </w:p>
    <w:p>
      <w:pPr>
        <w:pStyle w:val="ListParagraph"/>
        <w:numPr>
          <w:ilvl w:val="1"/>
          <w:numId w:val="2"/>
        </w:numPr>
        <w:tabs>
          <w:tab w:pos="759" w:val="left" w:leader="none"/>
        </w:tabs>
        <w:spacing w:line="240" w:lineRule="auto" w:before="137" w:after="0"/>
        <w:ind w:left="759" w:right="0" w:hanging="319"/>
        <w:jc w:val="left"/>
        <w:rPr>
          <w:sz w:val="22"/>
        </w:rPr>
      </w:pPr>
      <w:r>
        <w:rPr>
          <w:sz w:val="22"/>
        </w:rPr>
        <w:t>SHAP plots (summary, dependence): Figures 1–</w:t>
      </w:r>
      <w:r>
        <w:rPr>
          <w:spacing w:val="-5"/>
          <w:sz w:val="22"/>
        </w:rPr>
        <w:t>3.</w:t>
      </w:r>
    </w:p>
    <w:p>
      <w:pPr>
        <w:pStyle w:val="ListParagraph"/>
        <w:numPr>
          <w:ilvl w:val="1"/>
          <w:numId w:val="2"/>
        </w:numPr>
        <w:tabs>
          <w:tab w:pos="759" w:val="left" w:leader="none"/>
        </w:tabs>
        <w:spacing w:line="240" w:lineRule="auto" w:before="155" w:after="0"/>
        <w:ind w:left="759" w:right="0" w:hanging="319"/>
        <w:jc w:val="left"/>
        <w:rPr>
          <w:sz w:val="22"/>
        </w:rPr>
      </w:pPr>
      <w:r>
        <w:rPr>
          <w:sz w:val="22"/>
        </w:rPr>
        <w:t>LIME local explanation visualizations: Figure </w:t>
      </w:r>
      <w:r>
        <w:rPr>
          <w:spacing w:val="-5"/>
          <w:sz w:val="22"/>
        </w:rPr>
        <w:t>4.</w:t>
      </w:r>
    </w:p>
    <w:p>
      <w:pPr>
        <w:pStyle w:val="ListParagraph"/>
        <w:numPr>
          <w:ilvl w:val="1"/>
          <w:numId w:val="2"/>
        </w:numPr>
        <w:tabs>
          <w:tab w:pos="760" w:val="left" w:leader="none"/>
        </w:tabs>
        <w:spacing w:line="276" w:lineRule="auto" w:before="156" w:after="0"/>
        <w:ind w:left="760" w:right="479" w:hanging="320"/>
        <w:jc w:val="left"/>
        <w:rPr>
          <w:sz w:val="22"/>
        </w:rPr>
      </w:pPr>
      <w:r>
        <w:rPr>
          <w:sz w:val="22"/>
        </w:rPr>
        <w:t>Fairness audit report (metrics, visualizations): the room-type table, the ward findings and Figure </w:t>
      </w:r>
      <w:r>
        <w:rPr>
          <w:sz w:val="22"/>
        </w:rPr>
        <w:t>5; mitigation comparison: Figure 6.</w:t>
      </w:r>
    </w:p>
    <w:p>
      <w:pPr>
        <w:pStyle w:val="ListParagraph"/>
        <w:numPr>
          <w:ilvl w:val="1"/>
          <w:numId w:val="2"/>
        </w:numPr>
        <w:tabs>
          <w:tab w:pos="760" w:val="left" w:leader="none"/>
        </w:tabs>
        <w:spacing w:line="276" w:lineRule="auto" w:before="117" w:after="0"/>
        <w:ind w:left="760" w:right="479" w:hanging="320"/>
        <w:jc w:val="left"/>
        <w:rPr>
          <w:sz w:val="22"/>
        </w:rPr>
      </w:pPr>
      <w:r>
        <w:rPr>
          <w:sz w:val="22"/>
        </w:rPr>
        <w:t>Google Colab notebook </w:t>
      </w:r>
      <w:r>
        <w:rPr>
          <w:i/>
          <w:sz w:val="22"/>
        </w:rPr>
        <w:t>ADS_Exp5_XAI_SHAP_LIME_Fairness.ipynb</w:t>
      </w:r>
      <w:r>
        <w:rPr>
          <w:sz w:val="22"/>
        </w:rPr>
        <w:t>, which regenerates all </w:t>
      </w:r>
      <w:r>
        <w:rPr>
          <w:sz w:val="22"/>
        </w:rPr>
        <w:t>plots and tables, and the project repository (GitHub: CloudyPatil/ADS-Airbnb-Price-Prediction).</w:t>
      </w:r>
    </w:p>
    <w:p>
      <w:pPr>
        <w:pStyle w:val="Heading2"/>
        <w:spacing w:before="241"/>
      </w:pPr>
      <w:r>
        <w:rPr>
          <w:spacing w:val="-2"/>
        </w:rPr>
        <w:t>Conclusion</w:t>
      </w:r>
    </w:p>
    <w:p>
      <w:pPr>
        <w:pStyle w:val="BodyText"/>
        <w:spacing w:line="276" w:lineRule="auto" w:before="138"/>
        <w:ind w:left="480"/>
        <w:jc w:val="both"/>
      </w:pPr>
      <w:r>
        <w:rPr/>
        <w:t>SHAP</w:t>
      </w:r>
      <w:r>
        <w:rPr>
          <w:spacing w:val="-1"/>
        </w:rPr>
        <w:t> </w:t>
      </w:r>
      <w:r>
        <w:rPr/>
        <w:t>and</w:t>
      </w:r>
      <w:r>
        <w:rPr>
          <w:spacing w:val="-1"/>
        </w:rPr>
        <w:t> </w:t>
      </w:r>
      <w:r>
        <w:rPr/>
        <w:t>LIME</w:t>
      </w:r>
      <w:r>
        <w:rPr>
          <w:spacing w:val="-1"/>
        </w:rPr>
        <w:t> </w:t>
      </w:r>
      <w:r>
        <w:rPr/>
        <w:t>show</w:t>
      </w:r>
      <w:r>
        <w:rPr>
          <w:spacing w:val="-1"/>
        </w:rPr>
        <w:t> </w:t>
      </w:r>
      <w:r>
        <w:rPr/>
        <w:t>that</w:t>
      </w:r>
      <w:r>
        <w:rPr>
          <w:spacing w:val="-1"/>
        </w:rPr>
        <w:t> </w:t>
      </w:r>
      <w:r>
        <w:rPr/>
        <w:t>the</w:t>
      </w:r>
      <w:r>
        <w:rPr>
          <w:spacing w:val="-1"/>
        </w:rPr>
        <w:t> </w:t>
      </w:r>
      <w:r>
        <w:rPr/>
        <w:t>Gradient</w:t>
      </w:r>
      <w:r>
        <w:rPr>
          <w:spacing w:val="-1"/>
        </w:rPr>
        <w:t> </w:t>
      </w:r>
      <w:r>
        <w:rPr/>
        <w:t>Boosting</w:t>
      </w:r>
      <w:r>
        <w:rPr>
          <w:spacing w:val="-1"/>
        </w:rPr>
        <w:t> </w:t>
      </w:r>
      <w:r>
        <w:rPr/>
        <w:t>model</w:t>
      </w:r>
      <w:r>
        <w:rPr>
          <w:spacing w:val="-1"/>
        </w:rPr>
        <w:t> </w:t>
      </w:r>
      <w:r>
        <w:rPr/>
        <w:t>prices</w:t>
      </w:r>
      <w:r>
        <w:rPr>
          <w:spacing w:val="-1"/>
        </w:rPr>
        <w:t> </w:t>
      </w:r>
      <w:r>
        <w:rPr/>
        <w:t>Airbnb</w:t>
      </w:r>
      <w:r>
        <w:rPr>
          <w:spacing w:val="-1"/>
        </w:rPr>
        <w:t> </w:t>
      </w:r>
      <w:r>
        <w:rPr/>
        <w:t>listings</w:t>
      </w:r>
      <w:r>
        <w:rPr>
          <w:spacing w:val="-1"/>
        </w:rPr>
        <w:t> </w:t>
      </w:r>
      <w:r>
        <w:rPr/>
        <w:t>mainly</w:t>
      </w:r>
      <w:r>
        <w:rPr>
          <w:spacing w:val="-1"/>
        </w:rPr>
        <w:t> </w:t>
      </w:r>
      <w:r>
        <w:rPr/>
        <w:t>by</w:t>
      </w:r>
      <w:r>
        <w:rPr>
          <w:spacing w:val="-1"/>
        </w:rPr>
        <w:t> </w:t>
      </w:r>
      <w:r>
        <w:rPr/>
        <w:t>capacity</w:t>
      </w:r>
      <w:r>
        <w:rPr>
          <w:spacing w:val="-1"/>
        </w:rPr>
        <w:t> </w:t>
      </w:r>
      <w:r>
        <w:rPr/>
        <w:t>and size: the number of guests accommodated, bedrooms, beds and bathrooms dominate, and long minimum stays lower the price.. The explanations also exposed two weaknesses: the model leans on </w:t>
      </w:r>
      <w:r>
        <w:rPr>
          <w:i/>
        </w:rPr>
        <w:t>host_name</w:t>
      </w:r>
      <w:r>
        <w:rPr/>
        <w:t>, a personal identifier that adds little signal, and it under-predicts the most expensive properties. The fairness audit with Fairlearn found that room type is treated unevenly: most of the demographic-parity gap reflects real price differences, but the model wrongly flags cheaper entire homes as premium far more often than cheaper private rooms (false-positive rate 0.385 vs 0.062, equalized-odds difference 0.322). Ward-level errors also vary widely (14.8% to 52.4%), although the small groups make those figures uncertain. Among the mitigation strategies, reweighing is the best default because it reduces the gap without hurting accuracy, while group thresholds reduce it further at a real accuracy cost, and demographic parity is the wrong goal when groups truly differ. None of the methods brings the equalized-odds difference reliably below 0.10, and the model still misses the Experiment</w:t>
      </w:r>
      <w:r>
        <w:rPr>
          <w:spacing w:val="-1"/>
        </w:rPr>
        <w:t> </w:t>
      </w:r>
      <w:r>
        <w:rPr/>
        <w:t>1</w:t>
      </w:r>
      <w:r>
        <w:rPr>
          <w:spacing w:val="-1"/>
        </w:rPr>
        <w:t> </w:t>
      </w:r>
      <w:r>
        <w:rPr/>
        <w:t>target</w:t>
      </w:r>
      <w:r>
        <w:rPr>
          <w:spacing w:val="-1"/>
        </w:rPr>
        <w:t> </w:t>
      </w:r>
      <w:r>
        <w:rPr/>
        <w:t>of</w:t>
      </w:r>
      <w:r>
        <w:rPr>
          <w:spacing w:val="-1"/>
        </w:rPr>
        <w:t> </w:t>
      </w:r>
      <w:r>
        <w:rPr/>
        <w:t>RZ</w:t>
      </w:r>
      <w:r>
        <w:rPr>
          <w:spacing w:val="-1"/>
        </w:rPr>
        <w:t> </w:t>
      </w:r>
      <w:r>
        <w:rPr/>
        <w:t>≥</w:t>
      </w:r>
      <w:r>
        <w:rPr>
          <w:spacing w:val="-1"/>
        </w:rPr>
        <w:t> </w:t>
      </w:r>
      <w:r>
        <w:rPr/>
        <w:t>0.85</w:t>
      </w:r>
      <w:r>
        <w:rPr>
          <w:spacing w:val="-1"/>
        </w:rPr>
        <w:t> </w:t>
      </w:r>
      <w:r>
        <w:rPr/>
        <w:t>(out-of-fold</w:t>
      </w:r>
      <w:r>
        <w:rPr>
          <w:spacing w:val="-1"/>
        </w:rPr>
        <w:t> </w:t>
      </w:r>
      <w:r>
        <w:rPr/>
        <w:t>RZ</w:t>
      </w:r>
      <w:r>
        <w:rPr>
          <w:spacing w:val="-1"/>
        </w:rPr>
        <w:t> </w:t>
      </w:r>
      <w:r>
        <w:rPr/>
        <w:t>=</w:t>
      </w:r>
      <w:r>
        <w:rPr>
          <w:spacing w:val="-1"/>
        </w:rPr>
        <w:t> </w:t>
      </w:r>
      <w:r>
        <w:rPr/>
        <w:t>0.53).</w:t>
      </w:r>
      <w:r>
        <w:rPr>
          <w:spacing w:val="-1"/>
        </w:rPr>
        <w:t> </w:t>
      </w:r>
      <w:r>
        <w:rPr/>
        <w:t>Future</w:t>
      </w:r>
      <w:r>
        <w:rPr>
          <w:spacing w:val="-1"/>
        </w:rPr>
        <w:t> </w:t>
      </w:r>
      <w:r>
        <w:rPr/>
        <w:t>work</w:t>
      </w:r>
      <w:r>
        <w:rPr>
          <w:spacing w:val="-1"/>
        </w:rPr>
        <w:t> </w:t>
      </w:r>
      <w:r>
        <w:rPr/>
        <w:t>is</w:t>
      </w:r>
      <w:r>
        <w:rPr>
          <w:spacing w:val="-1"/>
        </w:rPr>
        <w:t> </w:t>
      </w:r>
      <w:r>
        <w:rPr/>
        <w:t>to</w:t>
      </w:r>
      <w:r>
        <w:rPr>
          <w:spacing w:val="-1"/>
        </w:rPr>
        <w:t> </w:t>
      </w:r>
      <w:r>
        <w:rPr/>
        <w:t>remove</w:t>
      </w:r>
      <w:r>
        <w:rPr>
          <w:spacing w:val="-1"/>
        </w:rPr>
        <w:t> </w:t>
      </w:r>
      <w:r>
        <w:rPr>
          <w:i/>
        </w:rPr>
        <w:t>host_name</w:t>
      </w:r>
      <w:r>
        <w:rPr>
          <w:i/>
          <w:spacing w:val="-1"/>
        </w:rPr>
        <w:t> </w:t>
      </w:r>
      <w:r>
        <w:rPr/>
        <w:t>and</w:t>
      </w:r>
      <w:r>
        <w:rPr>
          <w:spacing w:val="-1"/>
        </w:rPr>
        <w:t> </w:t>
      </w:r>
      <w:r>
        <w:rPr/>
        <w:t>the high-cardinality date-string columns, collect more listings for the smaller room types and wards, and</w:t>
      </w:r>
      <w:r>
        <w:rPr>
          <w:spacing w:val="40"/>
        </w:rPr>
        <w:t> </w:t>
      </w:r>
      <w:r>
        <w:rPr/>
        <w:t>re-run the audit on the improved model.</w:t>
      </w:r>
    </w:p>
    <w:sectPr>
      <w:pgSz w:w="12240" w:h="15840"/>
      <w:pgMar w:header="0" w:footer="680" w:top="1360" w:bottom="8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rPr>
        <w:sz w:val="20"/>
      </w:rPr>
    </w:pPr>
    <w:r>
      <w:rPr>
        <w:sz w:val="20"/>
      </w:rPr>
      <mc:AlternateContent>
        <mc:Choice Requires="wps">
          <w:drawing>
            <wp:anchor distT="0" distB="0" distL="0" distR="0" allowOverlap="1" layoutInCell="1" locked="0" behindDoc="1" simplePos="0" relativeHeight="487361024">
              <wp:simplePos x="0" y="0"/>
              <wp:positionH relativeFrom="page">
                <wp:posOffset>2881188</wp:posOffset>
              </wp:positionH>
              <wp:positionV relativeFrom="page">
                <wp:posOffset>9486645</wp:posOffset>
              </wp:positionV>
              <wp:extent cx="204851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48510" cy="152400"/>
                      </a:xfrm>
                      <a:prstGeom prst="rect">
                        <a:avLst/>
                      </a:prstGeom>
                    </wps:spPr>
                    <wps:txbx>
                      <w:txbxContent>
                        <w:p>
                          <w:pPr>
                            <w:spacing w:before="12"/>
                            <w:ind w:left="20" w:right="0" w:firstLine="0"/>
                            <w:jc w:val="left"/>
                            <w:rPr>
                              <w:sz w:val="18"/>
                            </w:rPr>
                          </w:pPr>
                          <w:r>
                            <w:rPr>
                              <w:sz w:val="18"/>
                            </w:rPr>
                            <w:t>Experiment 5 – XAI and Fairness</w:t>
                          </w:r>
                          <w:r>
                            <w:rPr>
                              <w:spacing w:val="45"/>
                              <w:sz w:val="18"/>
                            </w:rPr>
                            <w:t> </w:t>
                          </w:r>
                          <w:r>
                            <w:rPr>
                              <w:sz w:val="18"/>
                            </w:rPr>
                            <w:t>|</w:t>
                          </w:r>
                          <w:r>
                            <w:rPr>
                              <w:spacing w:val="45"/>
                              <w:sz w:val="18"/>
                            </w:rPr>
                            <w:t> </w:t>
                          </w:r>
                          <w:r>
                            <w:rPr>
                              <w:sz w:val="18"/>
                            </w:rPr>
                            <w:t>Page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6.865204pt;margin-top:746.97998pt;width:161.3pt;height:12pt;mso-position-horizontal-relative:page;mso-position-vertical-relative:page;z-index:-15955456" type="#_x0000_t202" id="docshape1" filled="false" stroked="false">
              <v:textbox inset="0,0,0,0">
                <w:txbxContent>
                  <w:p>
                    <w:pPr>
                      <w:spacing w:before="12"/>
                      <w:ind w:left="20" w:right="0" w:firstLine="0"/>
                      <w:jc w:val="left"/>
                      <w:rPr>
                        <w:sz w:val="18"/>
                      </w:rPr>
                    </w:pPr>
                    <w:r>
                      <w:rPr>
                        <w:sz w:val="18"/>
                      </w:rPr>
                      <w:t>Experiment 5 – XAI and Fairness</w:t>
                    </w:r>
                    <w:r>
                      <w:rPr>
                        <w:spacing w:val="45"/>
                        <w:sz w:val="18"/>
                      </w:rPr>
                      <w:t> </w:t>
                    </w:r>
                    <w:r>
                      <w:rPr>
                        <w:sz w:val="18"/>
                      </w:rPr>
                      <w:t>|</w:t>
                    </w:r>
                    <w:r>
                      <w:rPr>
                        <w:spacing w:val="45"/>
                        <w:sz w:val="18"/>
                      </w:rPr>
                      <w:t> </w:t>
                    </w:r>
                    <w:r>
                      <w:rPr>
                        <w:sz w:val="18"/>
                      </w:rPr>
                      <w:t>Page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10" w:hanging="230"/>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0"/>
      <w:numFmt w:val="bullet"/>
      <w:lvlText w:val="•"/>
      <w:lvlJc w:val="left"/>
      <w:pPr>
        <w:ind w:left="760" w:hanging="320"/>
      </w:pPr>
      <w:rPr>
        <w:rFonts w:hint="default" w:ascii="Times New Roman" w:hAnsi="Times New Roman" w:eastAsia="Times New Roman" w:cs="Times New Roman"/>
        <w:b w:val="0"/>
        <w:bCs w:val="0"/>
        <w:i w:val="0"/>
        <w:iCs w:val="0"/>
        <w:spacing w:val="0"/>
        <w:w w:val="100"/>
        <w:position w:val="2"/>
        <w:sz w:val="20"/>
        <w:szCs w:val="20"/>
        <w:lang w:val="en-US" w:eastAsia="en-US" w:bidi="ar-SA"/>
      </w:rPr>
    </w:lvl>
    <w:lvl w:ilvl="2">
      <w:start w:val="0"/>
      <w:numFmt w:val="bullet"/>
      <w:lvlText w:val="•"/>
      <w:lvlJc w:val="left"/>
      <w:pPr>
        <w:ind w:left="1795" w:hanging="320"/>
      </w:pPr>
      <w:rPr>
        <w:rFonts w:hint="default"/>
        <w:lang w:val="en-US" w:eastAsia="en-US" w:bidi="ar-SA"/>
      </w:rPr>
    </w:lvl>
    <w:lvl w:ilvl="3">
      <w:start w:val="0"/>
      <w:numFmt w:val="bullet"/>
      <w:lvlText w:val="•"/>
      <w:lvlJc w:val="left"/>
      <w:pPr>
        <w:ind w:left="2831" w:hanging="320"/>
      </w:pPr>
      <w:rPr>
        <w:rFonts w:hint="default"/>
        <w:lang w:val="en-US" w:eastAsia="en-US" w:bidi="ar-SA"/>
      </w:rPr>
    </w:lvl>
    <w:lvl w:ilvl="4">
      <w:start w:val="0"/>
      <w:numFmt w:val="bullet"/>
      <w:lvlText w:val="•"/>
      <w:lvlJc w:val="left"/>
      <w:pPr>
        <w:ind w:left="3866" w:hanging="320"/>
      </w:pPr>
      <w:rPr>
        <w:rFonts w:hint="default"/>
        <w:lang w:val="en-US" w:eastAsia="en-US" w:bidi="ar-SA"/>
      </w:rPr>
    </w:lvl>
    <w:lvl w:ilvl="5">
      <w:start w:val="0"/>
      <w:numFmt w:val="bullet"/>
      <w:lvlText w:val="•"/>
      <w:lvlJc w:val="left"/>
      <w:pPr>
        <w:ind w:left="4902" w:hanging="320"/>
      </w:pPr>
      <w:rPr>
        <w:rFonts w:hint="default"/>
        <w:lang w:val="en-US" w:eastAsia="en-US" w:bidi="ar-SA"/>
      </w:rPr>
    </w:lvl>
    <w:lvl w:ilvl="6">
      <w:start w:val="0"/>
      <w:numFmt w:val="bullet"/>
      <w:lvlText w:val="•"/>
      <w:lvlJc w:val="left"/>
      <w:pPr>
        <w:ind w:left="5937" w:hanging="320"/>
      </w:pPr>
      <w:rPr>
        <w:rFonts w:hint="default"/>
        <w:lang w:val="en-US" w:eastAsia="en-US" w:bidi="ar-SA"/>
      </w:rPr>
    </w:lvl>
    <w:lvl w:ilvl="7">
      <w:start w:val="0"/>
      <w:numFmt w:val="bullet"/>
      <w:lvlText w:val="•"/>
      <w:lvlJc w:val="left"/>
      <w:pPr>
        <w:ind w:left="6973" w:hanging="320"/>
      </w:pPr>
      <w:rPr>
        <w:rFonts w:hint="default"/>
        <w:lang w:val="en-US" w:eastAsia="en-US" w:bidi="ar-SA"/>
      </w:rPr>
    </w:lvl>
    <w:lvl w:ilvl="8">
      <w:start w:val="0"/>
      <w:numFmt w:val="bullet"/>
      <w:lvlText w:val="•"/>
      <w:lvlJc w:val="left"/>
      <w:pPr>
        <w:ind w:left="8008" w:hanging="320"/>
      </w:pPr>
      <w:rPr>
        <w:rFonts w:hint="default"/>
        <w:lang w:val="en-US" w:eastAsia="en-US" w:bidi="ar-SA"/>
      </w:rPr>
    </w:lvl>
  </w:abstractNum>
  <w:abstractNum w:abstractNumId="0">
    <w:multiLevelType w:val="hybridMultilevel"/>
    <w:lvl w:ilvl="0">
      <w:start w:val="0"/>
      <w:numFmt w:val="bullet"/>
      <w:lvlText w:val="•"/>
      <w:lvlJc w:val="left"/>
      <w:pPr>
        <w:ind w:left="760" w:hanging="320"/>
      </w:pPr>
      <w:rPr>
        <w:rFonts w:hint="default" w:ascii="Times New Roman" w:hAnsi="Times New Roman" w:eastAsia="Times New Roman" w:cs="Times New Roman"/>
        <w:b w:val="0"/>
        <w:bCs w:val="0"/>
        <w:i w:val="0"/>
        <w:iCs w:val="0"/>
        <w:spacing w:val="0"/>
        <w:w w:val="100"/>
        <w:position w:val="2"/>
        <w:sz w:val="20"/>
        <w:szCs w:val="20"/>
        <w:lang w:val="en-US" w:eastAsia="en-US" w:bidi="ar-SA"/>
      </w:rPr>
    </w:lvl>
    <w:lvl w:ilvl="1">
      <w:start w:val="0"/>
      <w:numFmt w:val="bullet"/>
      <w:lvlText w:val="•"/>
      <w:lvlJc w:val="left"/>
      <w:pPr>
        <w:ind w:left="1692" w:hanging="320"/>
      </w:pPr>
      <w:rPr>
        <w:rFonts w:hint="default"/>
        <w:lang w:val="en-US" w:eastAsia="en-US" w:bidi="ar-SA"/>
      </w:rPr>
    </w:lvl>
    <w:lvl w:ilvl="2">
      <w:start w:val="0"/>
      <w:numFmt w:val="bullet"/>
      <w:lvlText w:val="•"/>
      <w:lvlJc w:val="left"/>
      <w:pPr>
        <w:ind w:left="2624" w:hanging="320"/>
      </w:pPr>
      <w:rPr>
        <w:rFonts w:hint="default"/>
        <w:lang w:val="en-US" w:eastAsia="en-US" w:bidi="ar-SA"/>
      </w:rPr>
    </w:lvl>
    <w:lvl w:ilvl="3">
      <w:start w:val="0"/>
      <w:numFmt w:val="bullet"/>
      <w:lvlText w:val="•"/>
      <w:lvlJc w:val="left"/>
      <w:pPr>
        <w:ind w:left="3556" w:hanging="320"/>
      </w:pPr>
      <w:rPr>
        <w:rFonts w:hint="default"/>
        <w:lang w:val="en-US" w:eastAsia="en-US" w:bidi="ar-SA"/>
      </w:rPr>
    </w:lvl>
    <w:lvl w:ilvl="4">
      <w:start w:val="0"/>
      <w:numFmt w:val="bullet"/>
      <w:lvlText w:val="•"/>
      <w:lvlJc w:val="left"/>
      <w:pPr>
        <w:ind w:left="4488" w:hanging="320"/>
      </w:pPr>
      <w:rPr>
        <w:rFonts w:hint="default"/>
        <w:lang w:val="en-US" w:eastAsia="en-US" w:bidi="ar-SA"/>
      </w:rPr>
    </w:lvl>
    <w:lvl w:ilvl="5">
      <w:start w:val="0"/>
      <w:numFmt w:val="bullet"/>
      <w:lvlText w:val="•"/>
      <w:lvlJc w:val="left"/>
      <w:pPr>
        <w:ind w:left="5420" w:hanging="320"/>
      </w:pPr>
      <w:rPr>
        <w:rFonts w:hint="default"/>
        <w:lang w:val="en-US" w:eastAsia="en-US" w:bidi="ar-SA"/>
      </w:rPr>
    </w:lvl>
    <w:lvl w:ilvl="6">
      <w:start w:val="0"/>
      <w:numFmt w:val="bullet"/>
      <w:lvlText w:val="•"/>
      <w:lvlJc w:val="left"/>
      <w:pPr>
        <w:ind w:left="6352" w:hanging="320"/>
      </w:pPr>
      <w:rPr>
        <w:rFonts w:hint="default"/>
        <w:lang w:val="en-US" w:eastAsia="en-US" w:bidi="ar-SA"/>
      </w:rPr>
    </w:lvl>
    <w:lvl w:ilvl="7">
      <w:start w:val="0"/>
      <w:numFmt w:val="bullet"/>
      <w:lvlText w:val="•"/>
      <w:lvlJc w:val="left"/>
      <w:pPr>
        <w:ind w:left="7284" w:hanging="320"/>
      </w:pPr>
      <w:rPr>
        <w:rFonts w:hint="default"/>
        <w:lang w:val="en-US" w:eastAsia="en-US" w:bidi="ar-SA"/>
      </w:rPr>
    </w:lvl>
    <w:lvl w:ilvl="8">
      <w:start w:val="0"/>
      <w:numFmt w:val="bullet"/>
      <w:lvlText w:val="•"/>
      <w:lvlJc w:val="left"/>
      <w:pPr>
        <w:ind w:left="8216" w:hanging="3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17"/>
      <w:ind w:left="760" w:right="479"/>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6"/>
      <w:ind w:left="480"/>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480"/>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71"/>
      <w:ind w:left="710" w:hanging="230"/>
      <w:jc w:val="both"/>
      <w:outlineLvl w:val="3"/>
    </w:pPr>
    <w:rPr>
      <w:rFonts w:ascii="Times New Roman" w:hAnsi="Times New Roman" w:eastAsia="Times New Roman" w:cs="Times New Roman"/>
      <w:b/>
      <w:bCs/>
      <w:sz w:val="23"/>
      <w:szCs w:val="23"/>
      <w:lang w:val="en-US" w:eastAsia="en-US" w:bidi="ar-SA"/>
    </w:rPr>
  </w:style>
  <w:style w:styleId="Heading4" w:type="paragraph">
    <w:name w:val="Heading 4"/>
    <w:basedOn w:val="Normal"/>
    <w:uiPriority w:val="1"/>
    <w:qFormat/>
    <w:pPr>
      <w:ind w:left="480"/>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17"/>
      <w:ind w:left="760" w:right="479" w:hanging="3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7"/>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2</dc:creator>
  <dc:subject>(unspecified)</dc:subject>
  <dc:title>Experiment 5</dc:title>
  <dcterms:created xsi:type="dcterms:W3CDTF">2026-09-24T04:36:47Z</dcterms:created>
  <dcterms:modified xsi:type="dcterms:W3CDTF">2026-09-24T04:36:47Z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2026-09-21T00:00:00Z</vt:filetime>
  </property>
  <property fmtid="{D5CDD505-2E9C-101B-9397-08002B2CF9AE}" pid="4" name="Creator">
    <vt:lpwstr>(unspecified)</vt:lpwstr>
  </property>
  <property fmtid="{D5CDD505-2E9C-101B-9397-08002B2CF9AE}" pid="5" name="LastSaved">
    <vt:filetime>2026-09-24T00:00:00Z</vt:filetime>
  </property>
  <property fmtid="{D5CDD505-2E9C-101B-9397-08002B2CF9AE}" pid="6" name="Producer">
    <vt:lpwstr>ReportLab PDF Library - (opensource)</vt:lpwstr>
  </property>
</Properties>
</file>