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0"/>
          <w:pgNumType w:start="1"/>
        </w:sectPr>
      </w:pPr>
      <w:bookmarkStart w:colFirst="0" w:colLast="0" w:name="_c7yttixprrq2" w:id="0"/>
      <w:bookmarkEnd w:id="0"/>
      <w:r w:rsidDel="00000000" w:rsidR="00000000" w:rsidRPr="00000000">
        <w:rPr>
          <w:rtl w:val="0"/>
        </w:rPr>
        <w:t xml:space="preserve">Lower Cost Items (&lt;$100)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  <w:sectPr>
          <w:type w:val="continuous"/>
          <w:pgSz w:h="15840" w:w="12240"/>
          <w:pgMar w:bottom="1440" w:top="1440" w:left="1440" w:right="1440" w:header="0"/>
        </w:sectPr>
      </w:pPr>
      <w:bookmarkStart w:colFirst="0" w:colLast="0" w:name="_925id8pbl8ls" w:id="1"/>
      <w:bookmarkEnd w:id="1"/>
      <w:r w:rsidDel="00000000" w:rsidR="00000000" w:rsidRPr="00000000">
        <w:rPr>
          <w:rtl w:val="0"/>
        </w:rPr>
        <w:t xml:space="preserve">Higher Cost Items (&gt;=$100)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</w:t>
      </w:r>
    </w:p>
    <w:sectPr>
      <w:type w:val="continuous"/>
      <w:pgSz w:h="15840" w:w="12240"/>
      <w:pgMar w:bottom="1440" w:top="1440" w:left="1440" w:right="1440" w:head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right"/>
      <w:rPr/>
    </w:pPr>
    <w:bookmarkStart w:colFirst="0" w:colLast="0" w:name="_76fh2bcj9wow" w:id="3"/>
    <w:bookmarkEnd w:id="3"/>
    <w:r w:rsidDel="00000000" w:rsidR="00000000" w:rsidRPr="00000000">
      <w:rPr/>
      <w:drawing>
        <wp:inline distB="114300" distT="114300" distL="114300" distR="114300">
          <wp:extent cx="1757363" cy="64061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6406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Title"/>
      <w:contextualSpacing w:val="0"/>
      <w:rPr/>
    </w:pPr>
    <w:bookmarkStart w:colFirst="0" w:colLast="0" w:name="_itqa5k528r1t" w:id="2"/>
    <w:bookmarkEnd w:id="2"/>
    <w:r w:rsidDel="00000000" w:rsidR="00000000" w:rsidRPr="00000000">
      <w:rPr>
        <w:rtl w:val="0"/>
      </w:rPr>
      <w:t xml:space="preserve">Equipment Wish 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jc w:val="center"/>
    </w:pPr>
    <w:rPr>
      <w:rFonts w:ascii="PT Sans Narrow" w:cs="PT Sans Narrow" w:eastAsia="PT Sans Narrow" w:hAnsi="PT Sans Narrow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