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587E" w:rsidRDefault="00236A09" w:rsidP="004C587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5pt;height:226.8pt">
            <v:imagedata r:id="rId4" o:title="schematic"/>
          </v:shape>
        </w:pict>
      </w:r>
    </w:p>
    <w:p w:rsidR="0013570A" w:rsidRDefault="00FC0C1E" w:rsidP="00134B31">
      <w:r>
        <w:t>Figure 1: Schematic representations of the coupled Mg/Ca and δ</w:t>
      </w:r>
      <w:r>
        <w:rPr>
          <w:vertAlign w:val="superscript"/>
        </w:rPr>
        <w:t>18</w:t>
      </w:r>
      <w:r>
        <w:t xml:space="preserve">O proxy systems. A) </w:t>
      </w:r>
      <w:r w:rsidR="00853CC0">
        <w:t xml:space="preserve">Forward-modeling framework for the coupled proxy systems, showing each proxy’s dependence on environmental variables. B) Hierarchical structure of the JPI analysis for these proxy systems. Each level of the hierarchy is </w:t>
      </w:r>
      <w:r w:rsidR="0013570A">
        <w:t xml:space="preserve">directly </w:t>
      </w:r>
      <w:r w:rsidR="00853CC0">
        <w:t xml:space="preserve">dependent on the </w:t>
      </w:r>
      <w:r w:rsidR="0013570A">
        <w:t>connected underlying nodes.</w:t>
      </w:r>
      <w:r w:rsidR="0013570A">
        <w:br w:type="page"/>
      </w:r>
    </w:p>
    <w:p w:rsidR="00FC0C1E" w:rsidRDefault="00D67F05" w:rsidP="004C587E">
      <w:r>
        <w:lastRenderedPageBreak/>
        <w:pict>
          <v:shape id="_x0000_i1067" type="#_x0000_t75" style="width:5in;height:5in">
            <v:imagedata r:id="rId5" o:title="Figure2"/>
          </v:shape>
        </w:pict>
      </w:r>
      <w:bookmarkStart w:id="0" w:name="_GoBack"/>
      <w:bookmarkEnd w:id="0"/>
    </w:p>
    <w:p w:rsidR="002327C9" w:rsidRPr="00134B31" w:rsidRDefault="003F16DE" w:rsidP="00134B31">
      <w:r>
        <w:t xml:space="preserve">Figure 2: </w:t>
      </w:r>
      <w:r w:rsidR="00737FEB">
        <w:t>Reconstructed bottom water temperature (A) and seawater δ</w:t>
      </w:r>
      <w:r w:rsidR="00737FEB">
        <w:rPr>
          <w:vertAlign w:val="superscript"/>
        </w:rPr>
        <w:t>18</w:t>
      </w:r>
      <w:r w:rsidR="00737FEB">
        <w:t xml:space="preserve">O values since 18 Ma (B). Black lines show individual draws from the posterior distribution for each time series; red lines show the median (solid) and </w:t>
      </w:r>
      <w:r w:rsidR="001F2B36">
        <w:t>95%</w:t>
      </w:r>
      <w:r w:rsidR="00737FEB">
        <w:t xml:space="preserve"> credible intervals</w:t>
      </w:r>
      <w:r w:rsidR="001F2B36">
        <w:t xml:space="preserve"> (dotted)</w:t>
      </w:r>
      <w:r w:rsidR="00737FEB">
        <w:t xml:space="preserve">. Circles show the distribution of </w:t>
      </w:r>
      <w:proofErr w:type="spellStart"/>
      <w:r w:rsidR="00737FEB">
        <w:t>foram</w:t>
      </w:r>
      <w:proofErr w:type="spellEnd"/>
      <w:r w:rsidR="00737FEB">
        <w:t xml:space="preserve"> Mg/Ca (A) and δ</w:t>
      </w:r>
      <w:r w:rsidR="00737FEB">
        <w:rPr>
          <w:vertAlign w:val="superscript"/>
        </w:rPr>
        <w:t>18</w:t>
      </w:r>
      <w:r w:rsidR="00737FEB">
        <w:t>O (B) data in time.</w:t>
      </w:r>
      <w:r w:rsidR="00743401">
        <w:t xml:space="preserve"> </w:t>
      </w:r>
      <w:r w:rsidR="002327C9">
        <w:rPr>
          <w:b/>
          <w:i/>
        </w:rPr>
        <w:br w:type="page"/>
      </w:r>
    </w:p>
    <w:p w:rsidR="001F2B36" w:rsidRDefault="00F31647">
      <w:pPr>
        <w:spacing w:line="259" w:lineRule="auto"/>
      </w:pPr>
      <w:r>
        <w:lastRenderedPageBreak/>
        <w:pict>
          <v:shape id="_x0000_i1042" type="#_x0000_t75" style="width:5in;height:198pt">
            <v:imagedata r:id="rId6" o:title="MgCa_sw_full"/>
          </v:shape>
        </w:pict>
      </w:r>
    </w:p>
    <w:p w:rsidR="00D65EDE" w:rsidRDefault="003F16DE" w:rsidP="001F2B36">
      <w:r>
        <w:t xml:space="preserve">Figure 3: </w:t>
      </w:r>
      <w:r w:rsidR="00AD7EB1">
        <w:t xml:space="preserve">Reconstructed seawater Mg/Ca from 110 Ma to present. Lines as in </w:t>
      </w:r>
      <w:r>
        <w:t>Fig. 2</w:t>
      </w:r>
      <w:r w:rsidR="00AD7EB1">
        <w:t xml:space="preserve">. White-filled circles show individual proxy estimates, black and grey symbols at the bottom of the panel show the distribution of the </w:t>
      </w:r>
      <w:proofErr w:type="spellStart"/>
      <w:r w:rsidR="00AD7EB1">
        <w:t>foram</w:t>
      </w:r>
      <w:proofErr w:type="spellEnd"/>
      <w:r w:rsidR="00AD7EB1">
        <w:t xml:space="preserve"> Mg/Ca proxy data and Paleogene proxy calibration data, respectively, in time.</w:t>
      </w:r>
    </w:p>
    <w:p w:rsidR="00CF53CC" w:rsidRDefault="00D67F05" w:rsidP="00B0432A">
      <w:r>
        <w:lastRenderedPageBreak/>
        <w:pict>
          <v:shape id="_x0000_i1065" type="#_x0000_t75" style="width:5in;height:5in">
            <v:imagedata r:id="rId7" o:title="Figure4"/>
          </v:shape>
        </w:pict>
      </w:r>
    </w:p>
    <w:p w:rsidR="00CF53CC" w:rsidRDefault="00CF53CC" w:rsidP="00B0432A">
      <w:r>
        <w:t xml:space="preserve">Figure 4: </w:t>
      </w:r>
      <w:r w:rsidR="00AF26F1">
        <w:t>Reconstructed bottom water temperature (A) and δ</w:t>
      </w:r>
      <w:r w:rsidR="00AF26F1">
        <w:rPr>
          <w:vertAlign w:val="superscript"/>
        </w:rPr>
        <w:t>18</w:t>
      </w:r>
      <w:r w:rsidR="00AF26F1">
        <w:t>O values (B) for sites 1123 (blue) and U1385 (red) based on simultaneous JPI of proxy data from both sites. Symbols as in Fig. 2.</w:t>
      </w:r>
      <w:r>
        <w:br w:type="page"/>
      </w:r>
    </w:p>
    <w:p w:rsidR="0013570A" w:rsidRDefault="00F31647" w:rsidP="004C587E">
      <w:r>
        <w:lastRenderedPageBreak/>
        <w:pict>
          <v:shape id="_x0000_i1044" type="#_x0000_t75" style="width:467.7pt;height:234pt">
            <v:imagedata r:id="rId8" o:title="calibration"/>
          </v:shape>
        </w:pict>
      </w:r>
    </w:p>
    <w:p w:rsidR="00AD7EB1" w:rsidRPr="008133D0" w:rsidRDefault="00CF53CC" w:rsidP="00134B31">
      <w:pPr>
        <w:rPr>
          <w:b/>
          <w:i/>
        </w:rPr>
      </w:pPr>
      <w:r>
        <w:t xml:space="preserve">Figure 5: </w:t>
      </w:r>
      <w:r w:rsidR="001F2B36">
        <w:t xml:space="preserve">Prior (black) and posterior (red) distributions for </w:t>
      </w:r>
      <w:proofErr w:type="spellStart"/>
      <w:r w:rsidR="001F2B36">
        <w:t>foram</w:t>
      </w:r>
      <w:proofErr w:type="spellEnd"/>
      <w:r w:rsidR="001F2B36">
        <w:t xml:space="preserve"> Mg/Ca (A-D) and δ</w:t>
      </w:r>
      <w:r w:rsidR="001F2B36">
        <w:rPr>
          <w:vertAlign w:val="superscript"/>
        </w:rPr>
        <w:t>18</w:t>
      </w:r>
      <w:r w:rsidR="001F2B36">
        <w:t xml:space="preserve">O (E-H) proxy model parameters (ref. equations 2 and 3, respectively). Solid and dashed lines in panel H show standard deviations of the calibration relationship prior to and following the 800 </w:t>
      </w:r>
      <w:proofErr w:type="spellStart"/>
      <w:r w:rsidR="001F2B36">
        <w:t>ka</w:t>
      </w:r>
      <w:proofErr w:type="spellEnd"/>
      <w:r w:rsidR="001F2B36">
        <w:t xml:space="preserve"> transition, </w:t>
      </w:r>
      <w:r w:rsidR="00AD7EB1">
        <w:t>respectively</w:t>
      </w:r>
      <w:r w:rsidR="001F2B36">
        <w:t>.</w:t>
      </w:r>
      <w:r w:rsidR="008133D0">
        <w:t xml:space="preserve"> </w:t>
      </w:r>
    </w:p>
    <w:p w:rsidR="00AD7EB1" w:rsidRDefault="00AD7EB1" w:rsidP="00AD7EB1">
      <w:r>
        <w:br w:type="page"/>
      </w:r>
    </w:p>
    <w:p w:rsidR="0013570A" w:rsidRDefault="00323C1B" w:rsidP="000829A8">
      <w:r>
        <w:rPr>
          <w:noProof/>
        </w:rPr>
        <w:lastRenderedPageBreak/>
        <w:pict>
          <v:shape id="_x0000_i1057" type="#_x0000_t75" style="width:6in;height:4in">
            <v:imagedata r:id="rId9" o:title="Figure6"/>
          </v:shape>
        </w:pict>
      </w:r>
    </w:p>
    <w:p w:rsidR="00AD7EB1" w:rsidRDefault="00CF53CC" w:rsidP="000829A8">
      <w:r>
        <w:t xml:space="preserve">Figure 6: </w:t>
      </w:r>
      <w:r w:rsidR="00B8569E">
        <w:t xml:space="preserve">Bivariate </w:t>
      </w:r>
      <w:r w:rsidR="000829A8">
        <w:t xml:space="preserve">density </w:t>
      </w:r>
      <w:r w:rsidR="00B8569E">
        <w:t>plots of the posterior distributions for Mg/Ca (A-C) and δ</w:t>
      </w:r>
      <w:r w:rsidR="00B8569E">
        <w:rPr>
          <w:vertAlign w:val="superscript"/>
        </w:rPr>
        <w:t>18</w:t>
      </w:r>
      <w:r w:rsidR="00B8569E">
        <w:t>O (D-F) proxy model param</w:t>
      </w:r>
      <w:r w:rsidR="000829A8">
        <w:t>eters.</w:t>
      </w:r>
      <w:r w:rsidR="00AD7EB1">
        <w:br w:type="page"/>
      </w:r>
    </w:p>
    <w:p w:rsidR="00AD7EB1" w:rsidRDefault="007345F6" w:rsidP="000829A8">
      <w:r>
        <w:lastRenderedPageBreak/>
        <w:pict>
          <v:shape id="_x0000_i1050" type="#_x0000_t75" style="width:6in;height:6in">
            <v:imagedata r:id="rId10" o:title="timeseries"/>
          </v:shape>
        </w:pict>
      </w:r>
    </w:p>
    <w:p w:rsidR="003F16DE" w:rsidRPr="00134B31" w:rsidRDefault="00CF53CC" w:rsidP="00134B31">
      <w:pPr>
        <w:rPr>
          <w:b/>
          <w:i/>
        </w:rPr>
      </w:pPr>
      <w:r>
        <w:t xml:space="preserve">Figure 7: </w:t>
      </w:r>
      <w:r w:rsidR="00AD7EB1">
        <w:t>Prior (black) and posterior (red) parameter distributions for bottom water temperature (</w:t>
      </w:r>
      <w:r w:rsidR="00AD7EB1" w:rsidRPr="00AD7EB1">
        <w:rPr>
          <w:i/>
        </w:rPr>
        <w:t>BWT</w:t>
      </w:r>
      <w:r w:rsidR="00AD7EB1">
        <w:t>, solid) and seawater δ</w:t>
      </w:r>
      <w:r w:rsidR="00AD7EB1">
        <w:rPr>
          <w:vertAlign w:val="superscript"/>
        </w:rPr>
        <w:t>18</w:t>
      </w:r>
      <w:r w:rsidR="00AD7EB1">
        <w:t>O (</w:t>
      </w:r>
      <w:r w:rsidR="00AD7EB1" w:rsidRPr="00AD7EB1">
        <w:rPr>
          <w:i/>
        </w:rPr>
        <w:t>δ</w:t>
      </w:r>
      <w:r w:rsidR="00AD7EB1" w:rsidRPr="00AD7EB1">
        <w:rPr>
          <w:i/>
          <w:vertAlign w:val="superscript"/>
        </w:rPr>
        <w:t>18</w:t>
      </w:r>
      <w:r w:rsidR="00AD7EB1" w:rsidRPr="00AD7EB1">
        <w:rPr>
          <w:i/>
        </w:rPr>
        <w:t>O</w:t>
      </w:r>
      <w:r w:rsidR="00AD7EB1" w:rsidRPr="00AD7EB1">
        <w:rPr>
          <w:i/>
          <w:vertAlign w:val="subscript"/>
        </w:rPr>
        <w:t>sw</w:t>
      </w:r>
      <w:r w:rsidR="00AD7EB1">
        <w:t>, dashed) time series models.</w:t>
      </w:r>
      <w:r w:rsidR="00134B31">
        <w:t xml:space="preserve"> (A-C) Site 806. (D-F) Site U1385. (G-I) Site 1123.</w:t>
      </w:r>
      <w:r w:rsidR="00AD7EB1">
        <w:t xml:space="preserve"> (A</w:t>
      </w:r>
      <w:r w:rsidR="00134B31">
        <w:t>, D, and G</w:t>
      </w:r>
      <w:r w:rsidR="00AD7EB1">
        <w:t xml:space="preserve">) Error autocorrelation (models for both variable used the same prior </w:t>
      </w:r>
      <w:r w:rsidR="00134B31">
        <w:t xml:space="preserve">in a given analysis, </w:t>
      </w:r>
      <w:r w:rsidR="00AD7EB1">
        <w:t>show</w:t>
      </w:r>
      <w:r w:rsidR="00134B31">
        <w:t>n</w:t>
      </w:r>
      <w:r w:rsidR="00AD7EB1">
        <w:t xml:space="preserve"> here in solid black), (B</w:t>
      </w:r>
      <w:r w:rsidR="00134B31">
        <w:t>, E, and H</w:t>
      </w:r>
      <w:r w:rsidR="00AD7EB1">
        <w:t xml:space="preserve">) standard deviation </w:t>
      </w:r>
      <w:r w:rsidR="008133D0">
        <w:t xml:space="preserve">of </w:t>
      </w:r>
      <w:r w:rsidR="008133D0" w:rsidRPr="008133D0">
        <w:rPr>
          <w:i/>
        </w:rPr>
        <w:t>BWT</w:t>
      </w:r>
      <w:r w:rsidR="008133D0">
        <w:t xml:space="preserve"> error term, and (C</w:t>
      </w:r>
      <w:r w:rsidR="00134B31">
        <w:t>, F, and I</w:t>
      </w:r>
      <w:r w:rsidR="008133D0">
        <w:t>) standard deviation of δ</w:t>
      </w:r>
      <w:r w:rsidR="008133D0" w:rsidRPr="008133D0">
        <w:rPr>
          <w:vertAlign w:val="superscript"/>
        </w:rPr>
        <w:t>18</w:t>
      </w:r>
      <w:r w:rsidR="008133D0">
        <w:t>O</w:t>
      </w:r>
      <w:r w:rsidR="008133D0" w:rsidRPr="008133D0">
        <w:rPr>
          <w:vertAlign w:val="subscript"/>
        </w:rPr>
        <w:t>sw</w:t>
      </w:r>
      <w:r w:rsidR="00134B31">
        <w:t xml:space="preserve"> error term.</w:t>
      </w:r>
      <w:r w:rsidR="003F16DE">
        <w:br w:type="page"/>
      </w:r>
    </w:p>
    <w:p w:rsidR="003F16DE" w:rsidRDefault="008345D4" w:rsidP="003F16DE">
      <w:r>
        <w:lastRenderedPageBreak/>
        <w:pict>
          <v:shape id="_x0000_i1059" type="#_x0000_t75" style="width:3in;height:3in">
            <v:imagedata r:id="rId11" o:title="Figure8"/>
          </v:shape>
        </w:pict>
      </w:r>
    </w:p>
    <w:p w:rsidR="003F16DE" w:rsidRPr="003F16DE" w:rsidRDefault="003F16DE" w:rsidP="003F16DE">
      <w:r>
        <w:t xml:space="preserve">Figure </w:t>
      </w:r>
      <w:r w:rsidR="00CF53CC">
        <w:t>8</w:t>
      </w:r>
      <w:r>
        <w:t xml:space="preserve">: Bivariate density plot of posterior values from the environmental </w:t>
      </w:r>
      <w:r w:rsidR="008345D4">
        <w:t>time series models</w:t>
      </w:r>
      <w:r>
        <w:t>.</w:t>
      </w:r>
      <w:r w:rsidR="008345D4">
        <w:t xml:space="preserve"> All values are plotted as change relative to 18 Ma within an individual posterior sample. Dots show the median values from the posterior time series from 18 Ma (red) to present (white).</w:t>
      </w:r>
    </w:p>
    <w:p w:rsidR="003F16DE" w:rsidRDefault="00C57AEB" w:rsidP="000829A8">
      <w:r>
        <w:lastRenderedPageBreak/>
        <w:pict>
          <v:shape id="_x0000_i1062" type="#_x0000_t75" style="width:5in;height:396pt">
            <v:imagedata r:id="rId12" o:title="Figure9"/>
          </v:shape>
        </w:pict>
      </w:r>
    </w:p>
    <w:p w:rsidR="003F16DE" w:rsidRPr="003F16DE" w:rsidRDefault="00CF53CC" w:rsidP="000829A8">
      <w:r>
        <w:t xml:space="preserve">Figure 9: </w:t>
      </w:r>
      <w:r w:rsidR="005D243E">
        <w:t xml:space="preserve">Evaluating changes within and between environmental reconstructions using JPI output. (A) Site 809 bottom water temperature reconstruction from ~2 Ma to present, and probability of no significant change in temperature relative to modern. Grey and red lines show the BWT record. The blue solid and dotted lines show </w:t>
      </w:r>
      <w:r w:rsidR="00EF3EF9">
        <w:t xml:space="preserve">estimated probability of no </w:t>
      </w:r>
      <w:r w:rsidR="005D243E">
        <w:t>change relative to modern, calculated based on change within</w:t>
      </w:r>
      <w:r w:rsidR="006E598A">
        <w:t xml:space="preserve"> (solid) or between (dotted)</w:t>
      </w:r>
      <w:r w:rsidR="005D243E">
        <w:t xml:space="preserve"> individual posterior samples. (B) Difference between site U1385 and 1123 seawater δ</w:t>
      </w:r>
      <w:r w:rsidR="005D243E">
        <w:rPr>
          <w:vertAlign w:val="superscript"/>
        </w:rPr>
        <w:t>18</w:t>
      </w:r>
      <w:r w:rsidR="005D243E">
        <w:t xml:space="preserve">O values within individual posterior samples, and probabilities </w:t>
      </w:r>
      <w:r w:rsidR="00EF3EF9">
        <w:t>of no significant difference between sites</w:t>
      </w:r>
      <w:r w:rsidR="006E598A">
        <w:t xml:space="preserve"> based on comparisons within (solid) or between (dotted) individual posterior samples.</w:t>
      </w:r>
      <w:r w:rsidR="005D243E">
        <w:t xml:space="preserve"> Blue dashed lines </w:t>
      </w:r>
      <w:r w:rsidR="00EF3EF9">
        <w:t xml:space="preserve">in both panels </w:t>
      </w:r>
      <w:r w:rsidR="005D243E">
        <w:t xml:space="preserve">show 5% and 1% probability thresholds; all other </w:t>
      </w:r>
      <w:r w:rsidR="005D243E">
        <w:t>symbols as in Fig. 2</w:t>
      </w:r>
      <w:r w:rsidR="005D243E">
        <w:t>.</w:t>
      </w:r>
      <w:r w:rsidR="006E598A">
        <w:t xml:space="preserve"> See text for details.</w:t>
      </w:r>
    </w:p>
    <w:sectPr w:rsidR="003F16DE" w:rsidRPr="003F16DE" w:rsidSect="003B34D6">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Radiocarbon&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xvta5exevtse2ef2a8pxfzmtwdwarp0aeps&quot;&gt;Gabe&lt;record-ids&gt;&lt;item&gt;168&lt;/item&gt;&lt;item&gt;259&lt;/item&gt;&lt;item&gt;2958&lt;/item&gt;&lt;item&gt;3004&lt;/item&gt;&lt;item&gt;3691&lt;/item&gt;&lt;item&gt;3843&lt;/item&gt;&lt;item&gt;4589&lt;/item&gt;&lt;item&gt;4696&lt;/item&gt;&lt;item&gt;7466&lt;/item&gt;&lt;item&gt;7476&lt;/item&gt;&lt;item&gt;7478&lt;/item&gt;&lt;item&gt;7481&lt;/item&gt;&lt;item&gt;7483&lt;/item&gt;&lt;item&gt;7488&lt;/item&gt;&lt;item&gt;7489&lt;/item&gt;&lt;item&gt;7491&lt;/item&gt;&lt;item&gt;7492&lt;/item&gt;&lt;item&gt;7493&lt;/item&gt;&lt;item&gt;7495&lt;/item&gt;&lt;item&gt;7496&lt;/item&gt;&lt;item&gt;7497&lt;/item&gt;&lt;item&gt;7498&lt;/item&gt;&lt;item&gt;7499&lt;/item&gt;&lt;item&gt;7503&lt;/item&gt;&lt;item&gt;7504&lt;/item&gt;&lt;item&gt;7505&lt;/item&gt;&lt;/record-ids&gt;&lt;/item&gt;&lt;/Libraries&gt;"/>
  </w:docVars>
  <w:rsids>
    <w:rsidRoot w:val="00D51983"/>
    <w:rsid w:val="0001473E"/>
    <w:rsid w:val="0002143D"/>
    <w:rsid w:val="00037935"/>
    <w:rsid w:val="000454FA"/>
    <w:rsid w:val="00055DF5"/>
    <w:rsid w:val="000829A8"/>
    <w:rsid w:val="0008313A"/>
    <w:rsid w:val="000842EC"/>
    <w:rsid w:val="00090B1A"/>
    <w:rsid w:val="00091257"/>
    <w:rsid w:val="000959E0"/>
    <w:rsid w:val="00097B46"/>
    <w:rsid w:val="000B2674"/>
    <w:rsid w:val="000C39C6"/>
    <w:rsid w:val="000C51BE"/>
    <w:rsid w:val="000D3E06"/>
    <w:rsid w:val="000D62C1"/>
    <w:rsid w:val="000D6A3C"/>
    <w:rsid w:val="000F16D4"/>
    <w:rsid w:val="0010669F"/>
    <w:rsid w:val="00126D96"/>
    <w:rsid w:val="00134B31"/>
    <w:rsid w:val="0013570A"/>
    <w:rsid w:val="00137703"/>
    <w:rsid w:val="00173AF0"/>
    <w:rsid w:val="001C1C13"/>
    <w:rsid w:val="001F2B36"/>
    <w:rsid w:val="00203BAE"/>
    <w:rsid w:val="002327C9"/>
    <w:rsid w:val="00236A09"/>
    <w:rsid w:val="00263257"/>
    <w:rsid w:val="002B09C5"/>
    <w:rsid w:val="002B564F"/>
    <w:rsid w:val="002B707E"/>
    <w:rsid w:val="002D61CC"/>
    <w:rsid w:val="00323C1B"/>
    <w:rsid w:val="00357277"/>
    <w:rsid w:val="00357858"/>
    <w:rsid w:val="00362F83"/>
    <w:rsid w:val="003A0FB6"/>
    <w:rsid w:val="003B34D6"/>
    <w:rsid w:val="003B3952"/>
    <w:rsid w:val="003C6E54"/>
    <w:rsid w:val="003F16DE"/>
    <w:rsid w:val="004156B1"/>
    <w:rsid w:val="004A1A3C"/>
    <w:rsid w:val="004C587E"/>
    <w:rsid w:val="00530C47"/>
    <w:rsid w:val="00530F54"/>
    <w:rsid w:val="00533F68"/>
    <w:rsid w:val="00555065"/>
    <w:rsid w:val="00560E03"/>
    <w:rsid w:val="005648CB"/>
    <w:rsid w:val="00572081"/>
    <w:rsid w:val="00586F0D"/>
    <w:rsid w:val="005C1AED"/>
    <w:rsid w:val="005D243E"/>
    <w:rsid w:val="00656AD5"/>
    <w:rsid w:val="00697422"/>
    <w:rsid w:val="006A3281"/>
    <w:rsid w:val="006A364C"/>
    <w:rsid w:val="006D1C06"/>
    <w:rsid w:val="006E2F05"/>
    <w:rsid w:val="006E598A"/>
    <w:rsid w:val="007345F6"/>
    <w:rsid w:val="00737FEB"/>
    <w:rsid w:val="00743401"/>
    <w:rsid w:val="007815E2"/>
    <w:rsid w:val="0079074C"/>
    <w:rsid w:val="00790D46"/>
    <w:rsid w:val="007A4B40"/>
    <w:rsid w:val="007D4FAF"/>
    <w:rsid w:val="007F67CE"/>
    <w:rsid w:val="008133D0"/>
    <w:rsid w:val="008249CD"/>
    <w:rsid w:val="00825198"/>
    <w:rsid w:val="008345D4"/>
    <w:rsid w:val="00835484"/>
    <w:rsid w:val="0085243F"/>
    <w:rsid w:val="00853CC0"/>
    <w:rsid w:val="00865849"/>
    <w:rsid w:val="00894AFA"/>
    <w:rsid w:val="0091340F"/>
    <w:rsid w:val="0091795D"/>
    <w:rsid w:val="009606DF"/>
    <w:rsid w:val="0096215C"/>
    <w:rsid w:val="009971C9"/>
    <w:rsid w:val="009D53E2"/>
    <w:rsid w:val="00A34F94"/>
    <w:rsid w:val="00A35269"/>
    <w:rsid w:val="00A4423E"/>
    <w:rsid w:val="00A5364D"/>
    <w:rsid w:val="00A92076"/>
    <w:rsid w:val="00AB43FC"/>
    <w:rsid w:val="00AD27C6"/>
    <w:rsid w:val="00AD7EB1"/>
    <w:rsid w:val="00AF26F1"/>
    <w:rsid w:val="00B021C0"/>
    <w:rsid w:val="00B03937"/>
    <w:rsid w:val="00B0432A"/>
    <w:rsid w:val="00B746A8"/>
    <w:rsid w:val="00B8569E"/>
    <w:rsid w:val="00C45496"/>
    <w:rsid w:val="00C456BF"/>
    <w:rsid w:val="00C57AEB"/>
    <w:rsid w:val="00CA7BD9"/>
    <w:rsid w:val="00CD6E09"/>
    <w:rsid w:val="00CE2A3E"/>
    <w:rsid w:val="00CF07C0"/>
    <w:rsid w:val="00CF53CC"/>
    <w:rsid w:val="00D01509"/>
    <w:rsid w:val="00D51983"/>
    <w:rsid w:val="00D5674D"/>
    <w:rsid w:val="00D5715D"/>
    <w:rsid w:val="00D65EDE"/>
    <w:rsid w:val="00D67F05"/>
    <w:rsid w:val="00E66B05"/>
    <w:rsid w:val="00EA1074"/>
    <w:rsid w:val="00EF2ED2"/>
    <w:rsid w:val="00EF3EF9"/>
    <w:rsid w:val="00F275BB"/>
    <w:rsid w:val="00F31647"/>
    <w:rsid w:val="00F41DFE"/>
    <w:rsid w:val="00F61B29"/>
    <w:rsid w:val="00F74D57"/>
    <w:rsid w:val="00F8461A"/>
    <w:rsid w:val="00FC0C1E"/>
    <w:rsid w:val="00FC7661"/>
    <w:rsid w:val="00FD53A2"/>
    <w:rsid w:val="00FE7F00"/>
    <w:rsid w:val="00FF1A72"/>
    <w:rsid w:val="00FF1ABC"/>
    <w:rsid w:val="00FF3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9A110"/>
  <w15:chartTrackingRefBased/>
  <w15:docId w15:val="{1DD67E5A-5B47-4DDB-B95F-C4669F6E4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587E"/>
    <w:pPr>
      <w:spacing w:line="480" w:lineRule="auto"/>
    </w:pPr>
  </w:style>
  <w:style w:type="paragraph" w:styleId="Heading1">
    <w:name w:val="heading 1"/>
    <w:basedOn w:val="Normal"/>
    <w:next w:val="Normal"/>
    <w:link w:val="Heading1Char"/>
    <w:uiPriority w:val="9"/>
    <w:qFormat/>
    <w:rsid w:val="004C587E"/>
    <w:pPr>
      <w:outlineLvl w:val="0"/>
    </w:pPr>
    <w:rPr>
      <w:b/>
    </w:rPr>
  </w:style>
  <w:style w:type="paragraph" w:styleId="Heading2">
    <w:name w:val="heading 2"/>
    <w:basedOn w:val="Normal"/>
    <w:next w:val="Normal"/>
    <w:link w:val="Heading2Char"/>
    <w:uiPriority w:val="9"/>
    <w:unhideWhenUsed/>
    <w:qFormat/>
    <w:rsid w:val="004C587E"/>
    <w:pPr>
      <w:outlineLvl w:val="1"/>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587E"/>
    <w:pPr>
      <w:jc w:val="center"/>
    </w:pPr>
    <w:rPr>
      <w:b/>
    </w:rPr>
  </w:style>
  <w:style w:type="character" w:customStyle="1" w:styleId="TitleChar">
    <w:name w:val="Title Char"/>
    <w:basedOn w:val="DefaultParagraphFont"/>
    <w:link w:val="Title"/>
    <w:uiPriority w:val="10"/>
    <w:rsid w:val="004C587E"/>
    <w:rPr>
      <w:b/>
    </w:rPr>
  </w:style>
  <w:style w:type="paragraph" w:styleId="Subtitle">
    <w:name w:val="Subtitle"/>
    <w:basedOn w:val="Normal"/>
    <w:next w:val="Normal"/>
    <w:link w:val="SubtitleChar"/>
    <w:uiPriority w:val="11"/>
    <w:qFormat/>
    <w:rsid w:val="004C587E"/>
    <w:pPr>
      <w:jc w:val="center"/>
    </w:pPr>
  </w:style>
  <w:style w:type="character" w:customStyle="1" w:styleId="SubtitleChar">
    <w:name w:val="Subtitle Char"/>
    <w:basedOn w:val="DefaultParagraphFont"/>
    <w:link w:val="Subtitle"/>
    <w:uiPriority w:val="11"/>
    <w:rsid w:val="004C587E"/>
  </w:style>
  <w:style w:type="character" w:customStyle="1" w:styleId="Heading1Char">
    <w:name w:val="Heading 1 Char"/>
    <w:basedOn w:val="DefaultParagraphFont"/>
    <w:link w:val="Heading1"/>
    <w:uiPriority w:val="9"/>
    <w:rsid w:val="004C587E"/>
    <w:rPr>
      <w:b/>
    </w:rPr>
  </w:style>
  <w:style w:type="character" w:customStyle="1" w:styleId="Heading2Char">
    <w:name w:val="Heading 2 Char"/>
    <w:basedOn w:val="DefaultParagraphFont"/>
    <w:link w:val="Heading2"/>
    <w:uiPriority w:val="9"/>
    <w:rsid w:val="004C587E"/>
    <w:rPr>
      <w:b/>
      <w:i/>
    </w:rPr>
  </w:style>
  <w:style w:type="paragraph" w:customStyle="1" w:styleId="EndNoteBibliographyTitle">
    <w:name w:val="EndNote Bibliography Title"/>
    <w:basedOn w:val="Normal"/>
    <w:link w:val="EndNoteBibliographyTitleChar"/>
    <w:rsid w:val="0091340F"/>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1340F"/>
    <w:rPr>
      <w:rFonts w:ascii="Calibri" w:hAnsi="Calibri" w:cs="Calibri"/>
      <w:noProof/>
    </w:rPr>
  </w:style>
  <w:style w:type="paragraph" w:customStyle="1" w:styleId="EndNoteBibliography">
    <w:name w:val="EndNote Bibliography"/>
    <w:basedOn w:val="Normal"/>
    <w:link w:val="EndNoteBibliographyChar"/>
    <w:rsid w:val="0091340F"/>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1340F"/>
    <w:rPr>
      <w:rFonts w:ascii="Calibri" w:hAnsi="Calibri" w:cs="Calibri"/>
      <w:noProof/>
    </w:rPr>
  </w:style>
  <w:style w:type="character" w:styleId="LineNumber">
    <w:name w:val="line number"/>
    <w:basedOn w:val="DefaultParagraphFont"/>
    <w:uiPriority w:val="99"/>
    <w:semiHidden/>
    <w:unhideWhenUsed/>
    <w:rsid w:val="003B34D6"/>
  </w:style>
  <w:style w:type="character" w:styleId="PlaceholderText">
    <w:name w:val="Placeholder Text"/>
    <w:basedOn w:val="DefaultParagraphFont"/>
    <w:uiPriority w:val="99"/>
    <w:semiHidden/>
    <w:rsid w:val="000842EC"/>
    <w:rPr>
      <w:color w:val="808080"/>
    </w:rPr>
  </w:style>
  <w:style w:type="character" w:styleId="Hyperlink">
    <w:name w:val="Hyperlink"/>
    <w:basedOn w:val="DefaultParagraphFont"/>
    <w:uiPriority w:val="99"/>
    <w:unhideWhenUsed/>
    <w:rsid w:val="00FE7F00"/>
    <w:rPr>
      <w:color w:val="0563C1" w:themeColor="hyperlink"/>
      <w:u w:val="single"/>
    </w:rPr>
  </w:style>
  <w:style w:type="paragraph" w:styleId="NoSpacing">
    <w:name w:val="No Spacing"/>
    <w:uiPriority w:val="1"/>
    <w:qFormat/>
    <w:rsid w:val="000829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1346</TotalTime>
  <Pages>9</Pages>
  <Words>480</Words>
  <Characters>2740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gjbowen</dc:creator>
  <cp:keywords/>
  <dc:description/>
  <cp:lastModifiedBy>gjbowen</cp:lastModifiedBy>
  <cp:revision>13</cp:revision>
  <dcterms:created xsi:type="dcterms:W3CDTF">2018-11-07T15:26:00Z</dcterms:created>
  <dcterms:modified xsi:type="dcterms:W3CDTF">2018-11-20T17:24:00Z</dcterms:modified>
</cp:coreProperties>
</file>