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Note de synthèse</w:t>
      </w:r>
    </w:p>
    <w:p>
      <w:pPr>
        <w:spacing w:after="100"/>
      </w:pPr>
      <w:r>
        <w:rPr>
          <w:i/>
          <w:iCs/>
          <w:sz w:val="24"/>
          <w:szCs w:val="24"/>
        </w:rPr>
        <w:t xml:space="preserve">Traçabilité du matériel hydrométrique par QR code — orientation technique projet GMAO</w:t>
      </w:r>
    </w:p>
    <w:p>
      <w:pPr>
        <w:spacing w:after="300"/>
      </w:pPr>
      <w:r>
        <w:rPr>
          <w:color w:val="666666"/>
          <w:sz w:val="20"/>
          <w:szCs w:val="20"/>
        </w:rPr>
        <w:t xml:space="preserve">17 août 2026</w:t>
      </w:r>
    </w:p>
    <w:p>
      <w:pPr>
        <w:pStyle w:val="Heading1"/>
        <w:spacing w:after="150" w:before="300"/>
      </w:pPr>
      <w:r>
        <w:t xml:space="preserve">1. Contexte et besoin</w:t>
      </w:r>
    </w:p>
    <w:p>
      <w:pPr>
        <w:spacing w:after="150"/>
      </w:pPr>
      <w:r>
        <w:t xml:space="preserve">Le matériel hydrométrique (stations, capteurs...) est actuellement suivi de façon manuelle, sans identification physique normalisée ni historique consolidé des affectations. L'objectif est de doter chaque équipement d'une étiquette QR code apposée sur site, permettant d'identifier rapidement le matériel sur le terrain et de consulter :</w:t>
      </w:r>
    </w:p>
    <w:p>
      <w:pPr>
        <w:pStyle w:val="ListParagraph"/>
        <w:numPr>
          <w:ilvl w:val="0"/>
          <w:numId w:val="2"/>
        </w:numPr>
        <w:spacing w:after="100"/>
      </w:pPr>
      <w:r>
        <w:t xml:space="preserve">son nom / référence,</w:t>
      </w:r>
    </w:p>
    <w:p>
      <w:pPr>
        <w:pStyle w:val="ListParagraph"/>
        <w:numPr>
          <w:ilvl w:val="0"/>
          <w:numId w:val="2"/>
        </w:numPr>
        <w:spacing w:after="100"/>
      </w:pPr>
      <w:r>
        <w:t xml:space="preserve">son site d'affectation actuel,</w:t>
      </w:r>
    </w:p>
    <w:p>
      <w:pPr>
        <w:pStyle w:val="ListParagraph"/>
        <w:numPr>
          <w:ilvl w:val="0"/>
          <w:numId w:val="2"/>
        </w:numPr>
        <w:spacing w:after="100"/>
      </w:pPr>
      <w:r>
        <w:t xml:space="preserve">sa date d'installation,</w:t>
      </w:r>
    </w:p>
    <w:p>
      <w:pPr>
        <w:pStyle w:val="ListParagraph"/>
        <w:numPr>
          <w:ilvl w:val="0"/>
          <w:numId w:val="2"/>
        </w:numPr>
        <w:spacing w:after="100"/>
      </w:pPr>
      <w:r>
        <w:t xml:space="preserve">l'historique complet de ses changements d'affectation.</w:t>
      </w:r>
    </w:p>
    <w:p>
      <w:pPr>
        <w:spacing w:after="150"/>
      </w:pPr>
      <w:r>
        <w:t xml:space="preserve">Une visualisation globale de l'ensemble du parc doit également être disponible sur poste de travail (vue tableau/carte), indépendamment de la consultation terrain via QR code.</w:t>
      </w:r>
    </w:p>
    <w:p>
      <w:pPr>
        <w:pStyle w:val="Heading1"/>
        <w:spacing w:after="150" w:before="300"/>
      </w:pPr>
      <w:r>
        <w:t xml:space="preserve">2. Point technique déterminant : que doit contenir le QR code ?</w:t>
      </w:r>
    </w:p>
    <w:p>
      <w:pPr>
        <w:spacing w:after="150"/>
      </w:pPr>
      <w:r>
        <w:t xml:space="preserve">Un QR code encode des données figées au moment de l'impression. Deux approches sont possibles :</w:t>
      </w:r>
    </w:p>
    <w:p>
      <w:pPr>
        <w:pStyle w:val="ListParagraph"/>
        <w:numPr>
          <w:ilvl w:val="0"/>
          <w:numId w:val="2"/>
        </w:numPr>
        <w:spacing w:after="100"/>
      </w:pPr>
      <w:r>
        <w:t xml:space="preserve">Encoder les données directement (nom, site, date...) → l'étiquette devient fausse dès le premier changement d'affectation, et il faut réimprimer/recoller un nouveau QR code à chaque déplacement de matériel.</w:t>
      </w:r>
    </w:p>
    <w:p>
      <w:pPr>
        <w:pStyle w:val="ListParagraph"/>
        <w:numPr>
          <w:ilvl w:val="0"/>
          <w:numId w:val="2"/>
        </w:numPr>
        <w:spacing w:after="100"/>
      </w:pPr>
      <w:r>
        <w:t xml:space="preserve">Encoder un lien stable et unique vers une fiche consultée en ligne (ex. gmao.spc-mo.fr/equip/AquaCJ-3) → l'étiquette ne change plus jamais ; la fiche affichée reflète en permanence l'état courant et l'historique complet, car elle est générée dynamiquement depuis la base de données.</w:t>
      </w:r>
    </w:p>
    <w:p>
      <w:pPr>
        <w:spacing w:after="150"/>
      </w:pPr>
      <w:r>
        <w:rPr>
          <w:b/>
          <w:bCs/>
        </w:rPr>
        <w:t xml:space="preserve">Recommandation : retenir la seconde approche. C'est le fonctionnement standard des solutions GMAO/traçabilité d'actifs, et c'est la seule qui répond durablement au besoin d'historique.</w:t>
      </w:r>
    </w:p>
    <w:p>
      <w:pPr>
        <w:pStyle w:val="Heading1"/>
        <w:spacing w:after="150" w:before="300"/>
      </w:pPr>
      <w:r>
        <w:t xml:space="preserve">3. Architecture proposée</w:t>
      </w:r>
    </w:p>
    <w:p>
      <w:pPr>
        <w:spacing w:after="150"/>
      </w:pPr>
      <w:r>
        <w:t xml:space="preserve">Trois briques, cohérentes avec les outils déjà utilisés en interne (workflow de publication déjà en place sur d'autres projets du service) :</w:t>
      </w:r>
    </w:p>
    <w:p>
      <w:pPr>
        <w:pStyle w:val="ListParagraph"/>
        <w:numPr>
          <w:ilvl w:val="0"/>
          <w:numId w:val="2"/>
        </w:numPr>
        <w:spacing w:after="100"/>
      </w:pPr>
      <w:r>
        <w:t xml:space="preserve">Base de données : une base structurée (équipements, sites, historique d'affectation) faisant office de source de vérité unique — remplace le classeur Excel actuel.</w:t>
      </w:r>
    </w:p>
    <w:p>
      <w:pPr>
        <w:pStyle w:val="ListParagraph"/>
        <w:numPr>
          <w:ilvl w:val="0"/>
          <w:numId w:val="2"/>
        </w:numPr>
        <w:spacing w:after="100"/>
      </w:pPr>
      <w:r>
        <w:t xml:space="preserve">Fiches web par équipement : génération automatique d'une page par matériel (infos courantes + tableau d'historique), publiée en ligne et accessible depuis un smartphone sur le terrain (réseau mobile, pas besoin d'être sur le réseau interne).</w:t>
      </w:r>
    </w:p>
    <w:p>
      <w:pPr>
        <w:pStyle w:val="ListParagraph"/>
        <w:numPr>
          <w:ilvl w:val="0"/>
          <w:numId w:val="2"/>
        </w:numPr>
        <w:spacing w:after="100"/>
      </w:pPr>
      <w:r>
        <w:t xml:space="preserve">Génération des QR codes : un script produit, pour chaque équipement, un QR code pointant vers sa fiche — prêt à imprimer et coller sur le matériel.</w:t>
      </w:r>
    </w:p>
    <w:p>
      <w:pPr>
        <w:pStyle w:val="ListParagraph"/>
        <w:numPr>
          <w:ilvl w:val="0"/>
          <w:numId w:val="2"/>
        </w:numPr>
        <w:spacing w:after="100"/>
      </w:pPr>
      <w:r>
        <w:t xml:space="preserve">Vue globale sur poste de travail : tableau de bord local (liste filtrable par site/équipement, et à terme carte de localisation des sites) permettant une vision d'ensemble du parc.</w:t>
      </w:r>
    </w:p>
    <w:p>
      <w:pPr>
        <w:pStyle w:val="Heading1"/>
        <w:spacing w:after="150" w:before="300"/>
      </w:pPr>
      <w:r>
        <w:t xml:space="preserve">4. Options envisageables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D9D9D9" w:val="clear"/>
            <w:tcMar>
              <w:top w:type="dxa" w:w="80"/>
              <w:left w:type="dxa" w:w="100"/>
              <w:bottom w:type="dxa" w:w="80"/>
              <w:right w:type="dxa" w:w="100"/>
            </w:tcMar>
          </w:tcPr>
          <w:p>
            <w:r>
              <w:rPr>
                <w:b/>
                <w:bCs/>
              </w:rPr>
              <w:t xml:space="preserve">Option</w:t>
            </w:r>
          </w:p>
        </w:tc>
        <w:tc>
          <w:tcPr>
            <w:tcW w:type="dxa" w:w="3600"/>
            <w:shd w:fill="D9D9D9" w:val="clear"/>
            <w:tcMar>
              <w:top w:type="dxa" w:w="80"/>
              <w:left w:type="dxa" w:w="100"/>
              <w:bottom w:type="dxa" w:w="80"/>
              <w:right w:type="dxa" w:w="100"/>
            </w:tcMar>
          </w:tcPr>
          <w:p>
            <w:r>
              <w:rPr>
                <w:b/>
                <w:bCs/>
              </w:rPr>
              <w:t xml:space="preserve">Avantages</w:t>
            </w:r>
          </w:p>
        </w:tc>
        <w:tc>
          <w:tcPr>
            <w:tcW w:type="dxa" w:w="3600"/>
            <w:shd w:fill="D9D9D9" w:val="clear"/>
            <w:tcMar>
              <w:top w:type="dxa" w:w="80"/>
              <w:left w:type="dxa" w:w="100"/>
              <w:bottom w:type="dxa" w:w="80"/>
              <w:right w:type="dxa" w:w="100"/>
            </w:tcMar>
          </w:tcPr>
          <w:p>
            <w:r>
              <w:rPr>
                <w:b/>
                <w:bCs/>
              </w:rPr>
              <w:t xml:space="preserve">Limites</w:t>
            </w:r>
          </w:p>
        </w:tc>
      </w:tr>
      <w:tr>
        <w:tc>
          <w:tcPr>
            <w:tcW w:type="dxa" w:w="3600"/>
            <w:tcMar>
              <w:top w:type="dxa" w:w="80"/>
              <w:left w:type="dxa" w:w="100"/>
              <w:bottom w:type="dxa" w:w="80"/>
              <w:right w:type="dxa" w:w="100"/>
            </w:tcMar>
          </w:tcPr>
          <w:p>
            <w:r>
              <w:rPr>
                <w:b w:val="false"/>
                <w:bCs w:val="false"/>
              </w:rPr>
              <w:t xml:space="preserve">Fiches statiques publiées en ligne (ex. hébergement type GitHub Pages)</w:t>
            </w:r>
          </w:p>
        </w:tc>
        <w:tc>
          <w:tcPr>
            <w:tcW w:type="dxa" w:w="3600"/>
            <w:tcMar>
              <w:top w:type="dxa" w:w="80"/>
              <w:left w:type="dxa" w:w="100"/>
              <w:bottom w:type="dxa" w:w="80"/>
              <w:right w:type="dxa" w:w="100"/>
            </w:tcMar>
          </w:tcPr>
          <w:p>
            <w:r>
              <w:rPr>
                <w:b w:val="false"/>
                <w:bCs w:val="false"/>
              </w:rPr>
              <w:t xml:space="preserve">Aucun serveur à maintenir, gratuit, accessible partout, cohérent avec l'existant du service.</w:t>
            </w:r>
          </w:p>
        </w:tc>
        <w:tc>
          <w:tcPr>
            <w:tcW w:type="dxa" w:w="3600"/>
            <w:tcMar>
              <w:top w:type="dxa" w:w="80"/>
              <w:left w:type="dxa" w:w="100"/>
              <w:bottom w:type="dxa" w:w="80"/>
              <w:right w:type="dxa" w:w="100"/>
            </w:tcMar>
          </w:tcPr>
          <w:p>
            <w:r>
              <w:rPr>
                <w:b w:val="false"/>
                <w:bCs w:val="false"/>
              </w:rPr>
              <w:t xml:space="preserve">Mise à jour par régénération + republication (pas d'édition en temps réel depuis le terrain).</w:t>
            </w:r>
          </w:p>
        </w:tc>
      </w:tr>
      <w:tr>
        <w:tc>
          <w:tcPr>
            <w:tcW w:type="dxa" w:w="3600"/>
            <w:tcMar>
              <w:top w:type="dxa" w:w="80"/>
              <w:left w:type="dxa" w:w="100"/>
              <w:bottom w:type="dxa" w:w="80"/>
              <w:right w:type="dxa" w:w="100"/>
            </w:tcMar>
          </w:tcPr>
          <w:p>
            <w:r>
              <w:rPr>
                <w:b w:val="false"/>
                <w:bCs w:val="false"/>
              </w:rPr>
              <w:t xml:space="preserve">Application web interne avec base de données (ex. petit serveur + base)</w:t>
            </w:r>
          </w:p>
        </w:tc>
        <w:tc>
          <w:tcPr>
            <w:tcW w:type="dxa" w:w="3600"/>
            <w:tcMar>
              <w:top w:type="dxa" w:w="80"/>
              <w:left w:type="dxa" w:w="100"/>
              <w:bottom w:type="dxa" w:w="80"/>
              <w:right w:type="dxa" w:w="100"/>
            </w:tcMar>
          </w:tcPr>
          <w:p>
            <w:r>
              <w:rPr>
                <w:b w:val="false"/>
                <w:bCs w:val="false"/>
              </w:rPr>
              <w:t xml:space="preserve">Édition en direct, gestion fine des droits, évolutif vers d'autres fonctions GMAO.</w:t>
            </w:r>
          </w:p>
        </w:tc>
        <w:tc>
          <w:tcPr>
            <w:tcW w:type="dxa" w:w="3600"/>
            <w:tcMar>
              <w:top w:type="dxa" w:w="80"/>
              <w:left w:type="dxa" w:w="100"/>
              <w:bottom w:type="dxa" w:w="80"/>
              <w:right w:type="dxa" w:w="100"/>
            </w:tcMar>
          </w:tcPr>
          <w:p>
            <w:r>
              <w:rPr>
                <w:b w:val="false"/>
                <w:bCs w:val="false"/>
              </w:rPr>
              <w:t xml:space="preserve">Nécessite un hébergement et une maintenance ; accès terrain à sécuriser.</w:t>
            </w:r>
          </w:p>
        </w:tc>
      </w:tr>
      <w:tr>
        <w:tc>
          <w:tcPr>
            <w:tcW w:type="dxa" w:w="3600"/>
            <w:tcMar>
              <w:top w:type="dxa" w:w="80"/>
              <w:left w:type="dxa" w:w="100"/>
              <w:bottom w:type="dxa" w:w="80"/>
              <w:right w:type="dxa" w:w="100"/>
            </w:tcMar>
          </w:tcPr>
          <w:p>
            <w:r>
              <w:rPr>
                <w:b w:val="false"/>
                <w:bCs w:val="false"/>
              </w:rPr>
              <w:t xml:space="preserve">Rester sur Excel + QR codes statiques</w:t>
            </w:r>
          </w:p>
        </w:tc>
        <w:tc>
          <w:tcPr>
            <w:tcW w:type="dxa" w:w="3600"/>
            <w:tcMar>
              <w:top w:type="dxa" w:w="80"/>
              <w:left w:type="dxa" w:w="100"/>
              <w:bottom w:type="dxa" w:w="80"/>
              <w:right w:type="dxa" w:w="100"/>
            </w:tcMar>
          </w:tcPr>
          <w:p>
            <w:r>
              <w:rPr>
                <w:b w:val="false"/>
                <w:bCs w:val="false"/>
              </w:rPr>
              <w:t xml:space="preserve">Aucun développement, démarrage immédiat.</w:t>
            </w:r>
          </w:p>
        </w:tc>
        <w:tc>
          <w:tcPr>
            <w:tcW w:type="dxa" w:w="3600"/>
            <w:tcMar>
              <w:top w:type="dxa" w:w="80"/>
              <w:left w:type="dxa" w:w="100"/>
              <w:bottom w:type="dxa" w:w="80"/>
              <w:right w:type="dxa" w:w="100"/>
            </w:tcMar>
          </w:tcPr>
          <w:p>
            <w:r>
              <w:rPr>
                <w:b w:val="false"/>
                <w:bCs w:val="false"/>
              </w:rPr>
              <w:t xml:space="preserve">Ne répond pas au besoin d'historique consultable via QR code ; ressaisie manuelle à chaque déplacement.</w:t>
            </w:r>
          </w:p>
        </w:tc>
      </w:tr>
    </w:tbl>
    <w:p>
      <w:pPr>
        <w:spacing w:after="150"/>
      </w:pPr>
    </w:p>
    <w:p>
      <w:pPr>
        <w:pStyle w:val="Heading1"/>
        <w:spacing w:after="150" w:before="300"/>
      </w:pPr>
      <w:r>
        <w:t xml:space="preserve">5. Recommandation</w:t>
      </w:r>
    </w:p>
    <w:p>
      <w:pPr>
        <w:spacing w:after="150"/>
      </w:pPr>
      <w:r>
        <w:t xml:space="preserve">Démarrer avec l'option « fiches statiques publiées en ligne » : c'est la solution la plus rapide à mettre en œuvre, sans coût d'infrastructure, et suffisante pour le volume de matériel actuel (parc de l'ordre de la dizaine d'unités). Elle est compatible avec une montée en puissance ultérieure vers une application avec base de données si le besoin d'édition terrain en temps réel se confirme.</w:t>
      </w:r>
    </w:p>
    <w:p>
      <w:pPr>
        <w:pStyle w:val="Heading1"/>
        <w:spacing w:after="150" w:before="300"/>
      </w:pPr>
      <w:r>
        <w:t xml:space="preserve">6. Points à trancher avec le collègue</w:t>
      </w:r>
    </w:p>
    <w:p>
      <w:pPr>
        <w:pStyle w:val="ListParagraph"/>
        <w:numPr>
          <w:ilvl w:val="0"/>
          <w:numId w:val="2"/>
        </w:numPr>
        <w:spacing w:after="100"/>
      </w:pPr>
      <w:r>
        <w:t xml:space="preserve">Validation de l'approche « QR code = lien » plutôt que données brutes.</w:t>
      </w:r>
    </w:p>
    <w:p>
      <w:pPr>
        <w:pStyle w:val="ListParagraph"/>
        <w:numPr>
          <w:ilvl w:val="0"/>
          <w:numId w:val="2"/>
        </w:numPr>
        <w:spacing w:after="100"/>
      </w:pPr>
      <w:r>
        <w:t xml:space="preserve">Choix de l'hébergement des fiches (interne / externe) et du nom de domaine ou sous-domaine à utiliser.</w:t>
      </w:r>
    </w:p>
    <w:p>
      <w:pPr>
        <w:pStyle w:val="ListParagraph"/>
        <w:numPr>
          <w:ilvl w:val="0"/>
          <w:numId w:val="2"/>
        </w:numPr>
        <w:spacing w:after="100"/>
      </w:pPr>
      <w:r>
        <w:t xml:space="preserve">Niveau de détail attendu sur la vue globale (tableau simple vs carte interactive).</w:t>
      </w:r>
    </w:p>
    <w:p>
      <w:pPr>
        <w:pStyle w:val="ListParagraph"/>
        <w:numPr>
          <w:ilvl w:val="0"/>
          <w:numId w:val="2"/>
        </w:numPr>
        <w:spacing w:after="100"/>
      </w:pPr>
      <w:r>
        <w:t xml:space="preserve">Qui doit pouvoir modifier une affectation (accès en écriture) et selon quel processus.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2026-08-17T16:10:17.082Z</dcterms:created>
  <dcterms:modified xsi:type="dcterms:W3CDTF">2026-08-17T16:10:17.087Z</dcterms:modified>
</cp:coreProperties>
</file>

<file path=docProps/custom.xml><?xml version="1.0" encoding="utf-8"?>
<Properties xmlns="http://schemas.openxmlformats.org/officeDocument/2006/custom-properties" xmlns:vt="http://schemas.openxmlformats.org/officeDocument/2006/docPropsVTypes"/>
</file>