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Identidad visual sena</w:t>
      </w:r>
    </w:p>
    <w:p>
      <w:pPr>
        <w:jc w:val="center"/>
      </w:pPr>
      <w:r>
        <w:rPr>
          <w:color w:val="60666A"/>
          <w:sz w:val="28"/>
        </w:rPr>
        <w:t>Documento 10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11. Identidad visual SENA</w:t>
      </w:r>
    </w:p>
    <w:p>
      <w:r>
        <w:rPr>
          <w:b w:val="0"/>
        </w:rPr>
        <w:t xml:space="preserve">El proyecto sigue el </w:t>
      </w:r>
      <w:r>
        <w:rPr>
          <w:b/>
        </w:rPr>
        <w:t>Manual de Identidad Visual SENA 2024</w:t>
      </w:r>
      <w:r>
        <w:rPr>
          <w:b w:val="0"/>
        </w:rPr>
        <w:t xml:space="preserve"> (Resolución 1825 de 2024). Todo está declarado en </w:t>
      </w:r>
      <w:r>
        <w:rPr>
          <w:rFonts w:ascii="Consolas" w:hAnsi="Consolas" w:eastAsia="Consolas"/>
          <w:b w:val="0"/>
          <w:color w:val="A03000"/>
          <w:sz w:val="19"/>
        </w:rPr>
        <w:t>src/index.css</w:t>
      </w:r>
      <w:r>
        <w:rPr>
          <w:b w:val="0"/>
        </w:rPr>
        <w:t xml:space="preserve">, en el bloque </w:t>
      </w:r>
      <w:r>
        <w:rPr>
          <w:rFonts w:ascii="Consolas" w:hAnsi="Consolas" w:eastAsia="Consolas"/>
          <w:b w:val="0"/>
          <w:color w:val="A03000"/>
          <w:sz w:val="19"/>
        </w:rPr>
        <w:t>@theme</w:t>
      </w:r>
      <w:r>
        <w:rPr>
          <w:b w:val="0"/>
        </w:rPr>
        <w:t xml:space="preserve"> de Tailwind v4.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11.1 Colores del modo claro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#39a900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Verde institucional, el color principal del logosímbolo. Botones, acentos, franja de la tarjeta, ítem activo del menú.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--color-sena-oscuro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#007832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Verde oscuro. Botones primarios y estados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hover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--color-sena-azul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#00304d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Azul oscuro institucional. Títulos y textos de los formularios.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--color-sena-violeta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#71277a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Violeta institucional (complementario).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--color-sena-amarillo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#fdc300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Amarillo institucional.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--color-sena-cielo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#50e5f9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Azul claro. Fondo suave detrás de la tarjeta de login.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Gracias a </w:t>
      </w:r>
      <w:r>
        <w:rPr>
          <w:rFonts w:ascii="Consolas" w:hAnsi="Consolas" w:eastAsia="Consolas"/>
          <w:b w:val="0"/>
          <w:color w:val="A03000"/>
          <w:sz w:val="19"/>
        </w:rPr>
        <w:t>@theme</w:t>
      </w:r>
      <w:r>
        <w:rPr>
          <w:b w:val="0"/>
        </w:rPr>
        <w:t xml:space="preserve">, cada uno genera clases: </w:t>
      </w:r>
      <w:r>
        <w:rPr>
          <w:rFonts w:ascii="Consolas" w:hAnsi="Consolas" w:eastAsia="Consolas"/>
          <w:b w:val="0"/>
          <w:color w:val="A03000"/>
          <w:sz w:val="19"/>
        </w:rPr>
        <w:t>bg-sena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text-sena-azul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border-sena-cielo</w:t>
      </w:r>
      <w:r>
        <w:rPr>
          <w:b w:val="0"/>
        </w:rPr>
        <w:t xml:space="preserve">… y admite opacidad con la barra: </w:t>
      </w:r>
      <w:r>
        <w:rPr>
          <w:rFonts w:ascii="Consolas" w:hAnsi="Consolas" w:eastAsia="Consolas"/>
          <w:b w:val="0"/>
          <w:color w:val="A03000"/>
          <w:sz w:val="19"/>
        </w:rPr>
        <w:t>bg-sena/10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11.2 Colores del modo oscuro</w:t>
      </w:r>
    </w:p>
    <w:p>
      <w:r>
        <w:rPr>
          <w:b w:val="0"/>
        </w:rPr>
        <w:t xml:space="preserve">Derivados del azul institucional. Se eligieron </w:t>
      </w:r>
      <w:r>
        <w:rPr>
          <w:b/>
        </w:rPr>
        <w:t>por contraste medido</w:t>
      </w:r>
      <w:r>
        <w:rPr>
          <w:b w:val="0"/>
        </w:rPr>
        <w:t>, no por gusto: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Uso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Contraste sobre </w:t>
            </w:r>
            <w:r>
              <w:rPr>
                <w:rFonts w:ascii="Calibri" w:hAnsi="Calibri" w:eastAsia="Consolas"/>
                <w:b/>
                <w:color w:val="FFFFFF"/>
                <w:sz w:val="19"/>
              </w:rPr>
              <w:t>#00304d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--color-sena-noche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#00121f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Fondo general, más profundo que las tarjetas.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--color-sena-superficie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#00304d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Tarjetas, barra superior, menús.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--color-sena-superficie-alta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#0a3a5c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Estados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hover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--color-sena-borde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#14506f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Bordes para separar.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--color-sena-texto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#e8f0f7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Texto principal.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11.92:1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--color-sena-texto-suave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#9fb8cc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Texto secundario.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6.67:1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--color-sena-acento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#5fdd0a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Acento verde para texto y enlaces.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7.73:1</w:t>
            </w:r>
          </w:p>
        </w:tc>
      </w:tr>
    </w:tbl>
    <w:p>
      <w:pPr>
        <w:spacing w:after="40"/>
      </w:pPr>
    </w:p>
    <w:p>
      <w:r>
        <w:rPr>
          <w:b/>
        </w:rPr>
        <w:t>Por qué un verde "acento" distinto.</w:t>
      </w:r>
      <w:r>
        <w:rPr>
          <w:b w:val="0"/>
        </w:rPr>
        <w:t xml:space="preserve"> El verde institucional </w:t>
      </w:r>
      <w:r>
        <w:rPr>
          <w:rFonts w:ascii="Consolas" w:hAnsi="Consolas" w:eastAsia="Consolas"/>
          <w:b w:val="0"/>
          <w:color w:val="A03000"/>
          <w:sz w:val="19"/>
        </w:rPr>
        <w:t>#39a900</w:t>
      </w:r>
      <w:r>
        <w:rPr>
          <w:b w:val="0"/>
        </w:rPr>
        <w:t xml:space="preserve"> da </w:t>
      </w:r>
      <w:r>
        <w:rPr>
          <w:b/>
        </w:rPr>
        <w:t>4.48:1</w:t>
      </w:r>
      <w:r>
        <w:rPr>
          <w:b w:val="0"/>
        </w:rPr>
        <w:t xml:space="preserve"> sobre </w:t>
      </w:r>
      <w:r>
        <w:rPr>
          <w:rFonts w:ascii="Consolas" w:hAnsi="Consolas" w:eastAsia="Consolas"/>
          <w:b w:val="0"/>
          <w:color w:val="A03000"/>
          <w:sz w:val="19"/>
        </w:rPr>
        <w:t>#00304d</w:t>
      </w:r>
      <w:r>
        <w:rPr>
          <w:b w:val="0"/>
        </w:rPr>
        <w:t xml:space="preserve">: se queda muy justo por debajo del 4.5:1 que exige la norma de accesibilidad para texto normal. Se usa tal cual en superficies grandes (franja, botón sólido, ítem activo) y para </w:t>
      </w:r>
      <w:r>
        <w:rPr>
          <w:b/>
        </w:rPr>
        <w:t>texto</w:t>
      </w:r>
      <w:r>
        <w:rPr>
          <w:b w:val="0"/>
        </w:rPr>
        <w:t xml:space="preserve"> se cambia a </w:t>
      </w:r>
      <w:r>
        <w:rPr>
          <w:rFonts w:ascii="Consolas" w:hAnsi="Consolas" w:eastAsia="Consolas"/>
          <w:b w:val="0"/>
          <w:color w:val="A03000"/>
          <w:sz w:val="19"/>
        </w:rPr>
        <w:t>#5fdd0a</w:t>
      </w:r>
      <w:r>
        <w:rPr>
          <w:b w:val="0"/>
        </w:rPr>
        <w:t>, que sí cumple con holgura.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11.3 Tipografía</w:t>
      </w:r>
    </w:p>
    <w:p>
      <w:pPr>
        <w:pStyle w:val="ListBullet"/>
        <w:spacing w:after="40"/>
        <w:ind w:left="425"/>
      </w:pPr>
      <w:r>
        <w:rPr>
          <w:b/>
        </w:rPr>
        <w:t>Work Sans</w:t>
      </w:r>
      <w:r>
        <w:rPr>
          <w:b w:val="0"/>
        </w:rPr>
        <w:t xml:space="preserve"> (tipografía institucional), cargada desde Google Fonts en </w:t>
      </w:r>
      <w:r>
        <w:rPr>
          <w:rFonts w:ascii="Consolas" w:hAnsi="Consolas" w:eastAsia="Consolas"/>
          <w:b w:val="0"/>
          <w:color w:val="A03000"/>
          <w:sz w:val="19"/>
        </w:rPr>
        <w:t>index.html</w:t>
      </w:r>
      <w:r>
        <w:rPr>
          <w:b w:val="0"/>
        </w:rPr>
        <w:t>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Declarada en </w:t>
      </w:r>
      <w:r>
        <w:rPr>
          <w:rFonts w:ascii="Consolas" w:hAnsi="Consolas" w:eastAsia="Consolas"/>
          <w:b w:val="0"/>
          <w:color w:val="A03000"/>
          <w:sz w:val="19"/>
        </w:rPr>
        <w:t>@theme</w:t>
      </w:r>
      <w:r>
        <w:rPr>
          <w:b w:val="0"/>
        </w:rPr>
        <w:t xml:space="preserve"> como </w:t>
      </w:r>
      <w:r>
        <w:rPr>
          <w:rFonts w:ascii="Consolas" w:hAnsi="Consolas" w:eastAsia="Consolas"/>
          <w:b w:val="0"/>
          <w:color w:val="A03000"/>
          <w:sz w:val="19"/>
        </w:rPr>
        <w:t>--font-sans</w:t>
      </w:r>
      <w:r>
        <w:rPr>
          <w:b w:val="0"/>
        </w:rPr>
        <w:t>, con alternativas del sistema por si el</w:t>
      </w:r>
    </w:p>
    <w:p>
      <w:r>
        <w:rPr>
          <w:b w:val="0"/>
        </w:rPr>
        <w:t xml:space="preserve">navegador no puede bajar la fuente: </w:t>
      </w:r>
      <w:r>
        <w:rPr>
          <w:rFonts w:ascii="Consolas" w:hAnsi="Consolas" w:eastAsia="Consolas"/>
          <w:b w:val="0"/>
          <w:color w:val="A03000"/>
          <w:sz w:val="19"/>
        </w:rPr>
        <w:t>-apple-system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BlinkMacSystemFont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Segoe UI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Roboto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Helvetica Neue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Arial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sans-serif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11.4 Logosímbolo</w:t>
      </w:r>
    </w:p>
    <w:p>
      <w:pPr>
        <w:pStyle w:val="ListBullet"/>
        <w:spacing w:after="40"/>
        <w:ind w:left="425"/>
      </w:pPr>
      <w:r>
        <w:rPr>
          <w:b w:val="0"/>
        </w:rPr>
        <w:t xml:space="preserve">Archivo: </w:t>
      </w:r>
      <w:r>
        <w:rPr>
          <w:rFonts w:ascii="Consolas" w:hAnsi="Consolas" w:eastAsia="Consolas"/>
          <w:b w:val="0"/>
          <w:color w:val="A03000"/>
          <w:sz w:val="19"/>
        </w:rPr>
        <w:t>public/logo-sena.svg</w:t>
      </w:r>
      <w:r>
        <w:rPr>
          <w:b w:val="0"/>
        </w:rPr>
        <w:t>.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b w:val="0"/>
          <w:color w:val="A03000"/>
          <w:sz w:val="19"/>
        </w:rPr>
        <w:t>components/ui/LogoSena.jsx</w:t>
      </w:r>
      <w:r>
        <w:rPr>
          <w:b w:val="0"/>
        </w:rPr>
        <w:t xml:space="preserve"> lo pinta con </w:t>
      </w:r>
      <w:r>
        <w:rPr>
          <w:rFonts w:ascii="Consolas" w:hAnsi="Consolas" w:eastAsia="Consolas"/>
          <w:b w:val="0"/>
          <w:color w:val="A03000"/>
          <w:sz w:val="19"/>
        </w:rPr>
        <w:t>mask-image</w:t>
      </w:r>
      <w:r>
        <w:rPr>
          <w:b w:val="0"/>
        </w:rPr>
        <w:t>, así que **hereda el color del</w:t>
      </w:r>
    </w:p>
    <w:p>
      <w:r>
        <w:rPr>
          <w:b w:val="0"/>
        </w:rPr>
        <w:t xml:space="preserve">texto** y se puede reutilizar en cualquier color: </w:t>
      </w:r>
      <w:r>
        <w:rPr>
          <w:rFonts w:ascii="Consolas" w:hAnsi="Consolas" w:eastAsia="Consolas"/>
          <w:b w:val="0"/>
          <w:color w:val="A03000"/>
          <w:sz w:val="19"/>
        </w:rPr>
        <w:t>text-sena</w:t>
      </w:r>
      <w:r>
        <w:rPr>
          <w:b w:val="0"/>
        </w:rPr>
        <w:t xml:space="preserve"> en la tarjeta clara, blanco sobre el menú.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En la tarjeta de acceso mide </w:t>
      </w:r>
      <w:r>
        <w:rPr>
          <w:b/>
        </w:rPr>
        <w:t>64×64 px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color w:val="A03000"/>
          <w:sz w:val="19"/>
        </w:rPr>
        <w:t>h-16 w-16</w:t>
      </w:r>
      <w:r>
        <w:rPr>
          <w:b w:val="0"/>
        </w:rPr>
        <w:t>), centrado encima del título.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En el menú lateral mide </w:t>
      </w:r>
      <w:r>
        <w:rPr>
          <w:b/>
        </w:rPr>
        <w:t>52×52 px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color w:val="A03000"/>
          <w:sz w:val="19"/>
        </w:rPr>
        <w:t>size-[52px]</w:t>
      </w:r>
      <w:r>
        <w:rPr>
          <w:b w:val="0"/>
        </w:rPr>
        <w:t>), por encima del mínimo de 50 px que</w:t>
      </w:r>
    </w:p>
    <w:p>
      <w:r>
        <w:rPr>
          <w:b w:val="0"/>
        </w:rPr>
        <w:t>exige el manual, y sin deformar la geometría original. Va con el texto "SPGTH" al lado.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