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45A" w:rsidRDefault="00372F1C">
      <w:r>
        <w:rPr>
          <w:rFonts w:hint="eastAsia"/>
        </w:rPr>
        <w:t xml:space="preserve">           </w:t>
      </w:r>
      <w:r w:rsidR="00474CD0">
        <w:rPr>
          <w:rFonts w:hint="eastAsia"/>
        </w:rPr>
        <w:t xml:space="preserve"> Numerical simulation of green water using SPH method</w:t>
      </w:r>
    </w:p>
    <w:p w:rsidR="002700EB" w:rsidRDefault="002700EB">
      <w:r>
        <w:rPr>
          <w:rFonts w:hint="eastAsia"/>
        </w:rPr>
        <w:t xml:space="preserve">                 Liang-Jun WEN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Qiang</w:t>
      </w:r>
      <w:proofErr w:type="spellEnd"/>
      <w:r>
        <w:rPr>
          <w:rFonts w:hint="eastAsia"/>
        </w:rPr>
        <w:t>-dong FENG</w:t>
      </w:r>
    </w:p>
    <w:p w:rsidR="00BC4D79" w:rsidRDefault="00BC4D79">
      <w:r>
        <w:rPr>
          <w:rFonts w:hint="eastAsia"/>
        </w:rPr>
        <w:t xml:space="preserve">           China Ship Scientific Research Center, Wuxi 214082</w:t>
      </w:r>
      <w:proofErr w:type="gramStart"/>
      <w:r>
        <w:rPr>
          <w:rFonts w:hint="eastAsia"/>
        </w:rPr>
        <w:t>,China</w:t>
      </w:r>
      <w:proofErr w:type="gramEnd"/>
    </w:p>
    <w:p w:rsidR="006C1CAA" w:rsidRDefault="0094329D">
      <w:r>
        <w:rPr>
          <w:rFonts w:hint="eastAsia"/>
        </w:rPr>
        <w:t>Abstract:</w:t>
      </w:r>
      <w:r w:rsidR="00066AF0">
        <w:rPr>
          <w:rFonts w:hint="eastAsia"/>
        </w:rPr>
        <w:t xml:space="preserve"> </w:t>
      </w:r>
      <w:r w:rsidR="007D337A">
        <w:rPr>
          <w:rFonts w:hint="eastAsia"/>
        </w:rPr>
        <w:t xml:space="preserve">When the ship is navigating </w:t>
      </w:r>
      <w:r w:rsidR="0027373C">
        <w:rPr>
          <w:rFonts w:hint="eastAsia"/>
        </w:rPr>
        <w:t>in the sea, it is inevitable to meet the rough sea condition</w:t>
      </w:r>
      <w:r w:rsidR="006C1CAA">
        <w:rPr>
          <w:rFonts w:hint="eastAsia"/>
        </w:rPr>
        <w:t xml:space="preserve">. In this case, the ship can suffer great danger from green water, and severe green water can cause structure damages. </w:t>
      </w:r>
      <w:r w:rsidR="001659A5">
        <w:rPr>
          <w:rFonts w:hint="eastAsia"/>
        </w:rPr>
        <w:t xml:space="preserve">The flows tend to be highly dynamic, with large amounts of free surface deformation. </w:t>
      </w:r>
      <w:r w:rsidR="006C1CAA">
        <w:rPr>
          <w:rFonts w:hint="eastAsia"/>
        </w:rPr>
        <w:t>A numerical method to simulate the pheno</w:t>
      </w:r>
      <w:r w:rsidR="00C86F2C">
        <w:rPr>
          <w:rFonts w:hint="eastAsia"/>
        </w:rPr>
        <w:t>menon of the green water on deck is established by taking advantage of SPH method.</w:t>
      </w:r>
    </w:p>
    <w:p w:rsidR="00C86F2C" w:rsidRDefault="00512AF3" w:rsidP="002700EB">
      <w:pPr>
        <w:ind w:firstLine="432"/>
      </w:pPr>
      <w:r>
        <w:rPr>
          <w:rFonts w:hint="eastAsia"/>
        </w:rPr>
        <w:t>The paper</w:t>
      </w:r>
      <w:r w:rsidR="00A37A65">
        <w:rPr>
          <w:rFonts w:hint="eastAsia"/>
        </w:rPr>
        <w:t xml:space="preserve"> aims to extend this method to deal with green water. The</w:t>
      </w:r>
      <w:r w:rsidR="008138EA">
        <w:rPr>
          <w:rFonts w:hint="eastAsia"/>
        </w:rPr>
        <w:t xml:space="preserve"> ship motion</w:t>
      </w:r>
      <w:r w:rsidR="00A37A65">
        <w:rPr>
          <w:rFonts w:hint="eastAsia"/>
        </w:rPr>
        <w:t xml:space="preserve"> is given by </w:t>
      </w:r>
      <w:r w:rsidR="008138EA">
        <w:rPr>
          <w:rFonts w:hint="eastAsia"/>
        </w:rPr>
        <w:t xml:space="preserve">potential flow theory. </w:t>
      </w:r>
      <w:r w:rsidR="00060AA1">
        <w:rPr>
          <w:rFonts w:hint="eastAsia"/>
        </w:rPr>
        <w:t xml:space="preserve">The ship model is regard as rigid body. </w:t>
      </w:r>
      <w:r w:rsidR="00662E3B">
        <w:rPr>
          <w:rFonts w:hint="eastAsia"/>
        </w:rPr>
        <w:t xml:space="preserve">Numerical results of water flow on deck and green water loads on the deck structure </w:t>
      </w:r>
      <w:r w:rsidR="002700EB">
        <w:rPr>
          <w:rFonts w:hint="eastAsia"/>
        </w:rPr>
        <w:t>are compared with the corresponding experimental data.</w:t>
      </w:r>
      <w:r w:rsidR="00701443">
        <w:rPr>
          <w:rFonts w:hint="eastAsia"/>
        </w:rPr>
        <w:t xml:space="preserve"> </w:t>
      </w:r>
      <w:r w:rsidR="002700EB">
        <w:rPr>
          <w:rFonts w:hint="eastAsia"/>
        </w:rPr>
        <w:t>It is shown tha</w:t>
      </w:r>
      <w:r w:rsidR="00597453">
        <w:rPr>
          <w:rFonts w:hint="eastAsia"/>
        </w:rPr>
        <w:t>t the SPH method can be applied</w:t>
      </w:r>
      <w:r w:rsidR="002700EB">
        <w:rPr>
          <w:rFonts w:hint="eastAsia"/>
        </w:rPr>
        <w:t xml:space="preserve"> to describe and analyze green water.</w:t>
      </w:r>
    </w:p>
    <w:p w:rsidR="00735FB5" w:rsidRDefault="00735FB5" w:rsidP="002700EB">
      <w:pPr>
        <w:ind w:firstLine="432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8"/>
        <w:gridCol w:w="3754"/>
      </w:tblGrid>
      <w:tr w:rsidR="008411CF" w:rsidTr="00DF15E9">
        <w:tc>
          <w:tcPr>
            <w:tcW w:w="4964" w:type="dxa"/>
          </w:tcPr>
          <w:p w:rsidR="00735FB5" w:rsidRDefault="00735FB5" w:rsidP="002700EB">
            <w:r>
              <w:rPr>
                <w:noProof/>
              </w:rPr>
              <w:drawing>
                <wp:inline distT="0" distB="0" distL="0" distR="0" wp14:anchorId="7837A30D" wp14:editId="09771FD0">
                  <wp:extent cx="2983878" cy="1459967"/>
                  <wp:effectExtent l="0" t="0" r="698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3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878" cy="1459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8" w:type="dxa"/>
          </w:tcPr>
          <w:p w:rsidR="00735FB5" w:rsidRDefault="00DF15E9" w:rsidP="002700EB">
            <w:r>
              <w:rPr>
                <w:noProof/>
              </w:rPr>
              <w:drawing>
                <wp:inline distT="0" distB="0" distL="0" distR="0" wp14:anchorId="3A0C2C3B" wp14:editId="000999B8">
                  <wp:extent cx="2297526" cy="1667435"/>
                  <wp:effectExtent l="0" t="0" r="26670" b="9525"/>
                  <wp:docPr id="1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</w:tbl>
    <w:p w:rsidR="002700EB" w:rsidRDefault="002700EB" w:rsidP="002700EB">
      <w:pPr>
        <w:ind w:firstLine="432"/>
      </w:pPr>
    </w:p>
    <w:p w:rsidR="00474CD0" w:rsidRDefault="007D337A">
      <w:pPr>
        <w:rPr>
          <w:rFonts w:hint="eastAsia"/>
        </w:rPr>
      </w:pPr>
      <w:r>
        <w:rPr>
          <w:rFonts w:hint="eastAsia"/>
        </w:rPr>
        <w:t xml:space="preserve"> </w:t>
      </w:r>
      <w:r w:rsidR="00B60113">
        <w:rPr>
          <w:rFonts w:hint="eastAsia"/>
        </w:rPr>
        <w:t>Reference:</w:t>
      </w:r>
    </w:p>
    <w:p w:rsidR="00B60113" w:rsidRDefault="00A31E96" w:rsidP="00A31E96">
      <w:pPr>
        <w:rPr>
          <w:rFonts w:ascii="Arial" w:hAnsi="Arial" w:cs="Arial" w:hint="eastAsia"/>
          <w:sz w:val="20"/>
          <w:szCs w:val="20"/>
          <w:lang w:val="en"/>
        </w:rPr>
      </w:pPr>
      <w:proofErr w:type="spellStart"/>
      <w:proofErr w:type="gramStart"/>
      <w:r>
        <w:rPr>
          <w:rFonts w:ascii="Arial" w:hAnsi="Arial" w:cs="Arial"/>
          <w:sz w:val="20"/>
          <w:szCs w:val="20"/>
          <w:lang w:val="en"/>
        </w:rPr>
        <w:t>Canelas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 RB, </w:t>
      </w:r>
      <w:proofErr w:type="spellStart"/>
      <w:r>
        <w:rPr>
          <w:rFonts w:ascii="Arial" w:hAnsi="Arial" w:cs="Arial"/>
          <w:sz w:val="20"/>
          <w:szCs w:val="20"/>
          <w:lang w:val="en"/>
        </w:rPr>
        <w:t>Domínguez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 JM, </w:t>
      </w:r>
      <w:proofErr w:type="spellStart"/>
      <w:r>
        <w:rPr>
          <w:rFonts w:ascii="Arial" w:hAnsi="Arial" w:cs="Arial"/>
          <w:sz w:val="20"/>
          <w:szCs w:val="20"/>
          <w:lang w:val="en"/>
        </w:rPr>
        <w:t>Crespo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 AJC, Gómez-</w:t>
      </w:r>
      <w:proofErr w:type="spellStart"/>
      <w:r>
        <w:rPr>
          <w:rFonts w:ascii="Arial" w:hAnsi="Arial" w:cs="Arial"/>
          <w:sz w:val="20"/>
          <w:szCs w:val="20"/>
          <w:lang w:val="en"/>
        </w:rPr>
        <w:t>Gesteira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 M, Ferreira RML.</w:t>
      </w:r>
      <w:proofErr w:type="gramEnd"/>
      <w:r>
        <w:rPr>
          <w:rFonts w:ascii="Arial" w:hAnsi="Arial" w:cs="Arial"/>
          <w:sz w:val="20"/>
          <w:szCs w:val="20"/>
          <w:lang w:val="en"/>
        </w:rPr>
        <w:t xml:space="preserve"> </w:t>
      </w:r>
      <w:proofErr w:type="gramStart"/>
      <w:r>
        <w:rPr>
          <w:rFonts w:ascii="Arial" w:hAnsi="Arial" w:cs="Arial" w:hint="eastAsia"/>
          <w:sz w:val="20"/>
          <w:szCs w:val="20"/>
          <w:lang w:val="en"/>
        </w:rPr>
        <w:t>(</w:t>
      </w:r>
      <w:r>
        <w:rPr>
          <w:rFonts w:ascii="Arial" w:hAnsi="Arial" w:cs="Arial"/>
          <w:sz w:val="20"/>
          <w:szCs w:val="20"/>
          <w:lang w:val="en"/>
        </w:rPr>
        <w:t>2015</w:t>
      </w:r>
      <w:r>
        <w:rPr>
          <w:rFonts w:ascii="Arial" w:hAnsi="Arial" w:cs="Arial" w:hint="eastAsia"/>
          <w:sz w:val="20"/>
          <w:szCs w:val="20"/>
          <w:lang w:val="en"/>
        </w:rPr>
        <w:t>)</w:t>
      </w:r>
      <w:r>
        <w:rPr>
          <w:rFonts w:ascii="Arial" w:hAnsi="Arial" w:cs="Arial"/>
          <w:sz w:val="20"/>
          <w:szCs w:val="20"/>
          <w:lang w:val="en"/>
        </w:rPr>
        <w:t xml:space="preserve">. A Smooth Particle Hydrodynamics discretization for the </w:t>
      </w:r>
      <w:bookmarkStart w:id="0" w:name="_GoBack"/>
      <w:bookmarkEnd w:id="0"/>
      <w:proofErr w:type="spellStart"/>
      <w:r>
        <w:rPr>
          <w:rFonts w:ascii="Arial" w:hAnsi="Arial" w:cs="Arial"/>
          <w:sz w:val="20"/>
          <w:szCs w:val="20"/>
          <w:lang w:val="en"/>
        </w:rPr>
        <w:t>modelling</w:t>
      </w:r>
      <w:proofErr w:type="spellEnd"/>
      <w:r>
        <w:rPr>
          <w:rFonts w:ascii="Arial" w:hAnsi="Arial" w:cs="Arial"/>
          <w:sz w:val="20"/>
          <w:szCs w:val="20"/>
          <w:lang w:val="en"/>
        </w:rPr>
        <w:t xml:space="preserve"> of free surface flows and rigid body dynamics.</w:t>
      </w:r>
      <w:proofErr w:type="gramEnd"/>
      <w:r>
        <w:rPr>
          <w:rFonts w:ascii="Arial" w:hAnsi="Arial" w:cs="Arial"/>
          <w:sz w:val="20"/>
          <w:szCs w:val="20"/>
          <w:lang w:val="en"/>
        </w:rPr>
        <w:t xml:space="preserve"> International Journal for Numerical </w:t>
      </w:r>
      <w:r>
        <w:rPr>
          <w:rFonts w:ascii="Arial" w:hAnsi="Arial" w:cs="Arial"/>
          <w:sz w:val="20"/>
          <w:szCs w:val="20"/>
          <w:lang w:val="en"/>
        </w:rPr>
        <w:t>Methods in Fluids, 78: 581-593.</w:t>
      </w:r>
    </w:p>
    <w:p w:rsidR="00A31E96" w:rsidRDefault="00A31E96" w:rsidP="00A31E96">
      <w:pPr>
        <w:rPr>
          <w:rFonts w:ascii="Arial" w:hAnsi="Arial" w:cs="Arial" w:hint="eastAsia"/>
          <w:sz w:val="20"/>
          <w:szCs w:val="20"/>
          <w:lang w:val="en"/>
        </w:rPr>
      </w:pPr>
    </w:p>
    <w:p w:rsidR="00A31E96" w:rsidRDefault="00A31E96" w:rsidP="00A31E96">
      <w:pPr>
        <w:rPr>
          <w:rFonts w:ascii="Arial" w:hAnsi="Arial" w:cs="Arial" w:hint="eastAsia"/>
          <w:sz w:val="20"/>
          <w:szCs w:val="20"/>
          <w:lang w:val="en"/>
        </w:rPr>
      </w:pPr>
    </w:p>
    <w:p w:rsidR="00A31E96" w:rsidRDefault="00A31E96" w:rsidP="00A31E96">
      <w:pPr>
        <w:rPr>
          <w:rFonts w:ascii="Arial" w:hAnsi="Arial" w:cs="Arial" w:hint="eastAsia"/>
          <w:sz w:val="20"/>
          <w:szCs w:val="20"/>
          <w:lang w:val="en"/>
        </w:rPr>
      </w:pPr>
      <w:r>
        <w:rPr>
          <w:rFonts w:ascii="Arial" w:hAnsi="Arial" w:cs="Arial" w:hint="eastAsia"/>
          <w:sz w:val="20"/>
          <w:szCs w:val="20"/>
          <w:lang w:val="en"/>
        </w:rPr>
        <w:t>Three relevant</w:t>
      </w:r>
      <w:r w:rsidR="00F77164">
        <w:rPr>
          <w:rFonts w:ascii="Arial" w:hAnsi="Arial" w:cs="Arial" w:hint="eastAsia"/>
          <w:sz w:val="20"/>
          <w:szCs w:val="20"/>
          <w:lang w:val="en"/>
        </w:rPr>
        <w:t xml:space="preserve"> workshop topics:</w:t>
      </w:r>
    </w:p>
    <w:p w:rsidR="00F77164" w:rsidRDefault="00F77164" w:rsidP="00A31E96">
      <w:pPr>
        <w:rPr>
          <w:rFonts w:hint="eastAsia"/>
          <w:lang w:val="en"/>
        </w:rPr>
      </w:pPr>
      <w:r w:rsidRPr="00F77164">
        <w:rPr>
          <w:lang w:val="en"/>
        </w:rPr>
        <w:t xml:space="preserve">Computational </w:t>
      </w:r>
      <w:proofErr w:type="spellStart"/>
      <w:r w:rsidRPr="00F77164">
        <w:rPr>
          <w:lang w:val="en"/>
        </w:rPr>
        <w:t>Modelling</w:t>
      </w:r>
      <w:proofErr w:type="spellEnd"/>
      <w:r w:rsidRPr="00F77164">
        <w:rPr>
          <w:lang w:val="en"/>
        </w:rPr>
        <w:t xml:space="preserve"> using SPH</w:t>
      </w:r>
    </w:p>
    <w:p w:rsidR="00F77164" w:rsidRDefault="00F77164" w:rsidP="00A31E96">
      <w:pPr>
        <w:rPr>
          <w:rFonts w:hint="eastAsia"/>
          <w:lang w:val="en"/>
        </w:rPr>
      </w:pPr>
      <w:r w:rsidRPr="00F77164">
        <w:rPr>
          <w:lang w:val="en"/>
        </w:rPr>
        <w:t>Theoretical and Numerical Aspects of SPH</w:t>
      </w:r>
    </w:p>
    <w:p w:rsidR="00F77164" w:rsidRDefault="00F77164" w:rsidP="00A31E96">
      <w:r w:rsidRPr="00F77164">
        <w:rPr>
          <w:lang w:val="en"/>
        </w:rPr>
        <w:t>SPH Applications</w:t>
      </w:r>
    </w:p>
    <w:sectPr w:rsidR="00F77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F1C"/>
    <w:rsid w:val="0004545A"/>
    <w:rsid w:val="00060AA1"/>
    <w:rsid w:val="00066AF0"/>
    <w:rsid w:val="001659A5"/>
    <w:rsid w:val="002700EB"/>
    <w:rsid w:val="0027373C"/>
    <w:rsid w:val="00372F1C"/>
    <w:rsid w:val="00474CD0"/>
    <w:rsid w:val="00512AF3"/>
    <w:rsid w:val="00597453"/>
    <w:rsid w:val="00662E3B"/>
    <w:rsid w:val="006C10DF"/>
    <w:rsid w:val="006C1CAA"/>
    <w:rsid w:val="00701443"/>
    <w:rsid w:val="00735FB5"/>
    <w:rsid w:val="007D337A"/>
    <w:rsid w:val="008138EA"/>
    <w:rsid w:val="008411CF"/>
    <w:rsid w:val="0094329D"/>
    <w:rsid w:val="00A31956"/>
    <w:rsid w:val="00A31E96"/>
    <w:rsid w:val="00A37A65"/>
    <w:rsid w:val="00AD45AF"/>
    <w:rsid w:val="00B60113"/>
    <w:rsid w:val="00BC4D79"/>
    <w:rsid w:val="00C86F2C"/>
    <w:rsid w:val="00D67CCD"/>
    <w:rsid w:val="00DF15E9"/>
    <w:rsid w:val="00E755FD"/>
    <w:rsid w:val="00F77164"/>
    <w:rsid w:val="00FF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5F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5FB5"/>
    <w:rPr>
      <w:sz w:val="18"/>
      <w:szCs w:val="18"/>
    </w:rPr>
  </w:style>
  <w:style w:type="table" w:styleId="a4">
    <w:name w:val="Table Grid"/>
    <w:basedOn w:val="a1"/>
    <w:uiPriority w:val="59"/>
    <w:rsid w:val="00735F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A31E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5F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5FB5"/>
    <w:rPr>
      <w:sz w:val="18"/>
      <w:szCs w:val="18"/>
    </w:rPr>
  </w:style>
  <w:style w:type="table" w:styleId="a4">
    <w:name w:val="Table Grid"/>
    <w:basedOn w:val="a1"/>
    <w:uiPriority w:val="59"/>
    <w:rsid w:val="00735F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A31E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PH\83390051DualSPHysics_v4.0_Windows_x64_2\DualSPHysics_v4.0_Windows_x64\EXECS\CaseFloating_out\Pointheights3_Height8_Press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Pointheights3_Height8_Press!$T$12</c:f>
              <c:strCache>
                <c:ptCount val="1"/>
                <c:pt idx="0">
                  <c:v>Experiment(kpa)</c:v>
                </c:pt>
              </c:strCache>
            </c:strRef>
          </c:tx>
          <c:invertIfNegative val="0"/>
          <c:dLbls>
            <c:delete val="1"/>
          </c:dLbls>
          <c:cat>
            <c:strRef>
              <c:f>Pointheights3_Height8_Press!$S$13:$S$16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Pointheights3_Height8_Press!$T$13:$T$16</c:f>
              <c:numCache>
                <c:formatCode>General</c:formatCode>
                <c:ptCount val="4"/>
                <c:pt idx="0">
                  <c:v>2.4471250000000002</c:v>
                </c:pt>
                <c:pt idx="1">
                  <c:v>1.9625499999999998</c:v>
                </c:pt>
                <c:pt idx="2">
                  <c:v>1.6915</c:v>
                </c:pt>
                <c:pt idx="3">
                  <c:v>1.3693</c:v>
                </c:pt>
              </c:numCache>
            </c:numRef>
          </c:val>
        </c:ser>
        <c:ser>
          <c:idx val="1"/>
          <c:order val="1"/>
          <c:tx>
            <c:strRef>
              <c:f>Pointheights3_Height8_Press!$U$12</c:f>
              <c:strCache>
                <c:ptCount val="1"/>
                <c:pt idx="0">
                  <c:v>SPH(kpa)</c:v>
                </c:pt>
              </c:strCache>
            </c:strRef>
          </c:tx>
          <c:invertIfNegative val="0"/>
          <c:dLbls>
            <c:delete val="1"/>
          </c:dLbls>
          <c:cat>
            <c:strRef>
              <c:f>Pointheights3_Height8_Press!$S$13:$S$16</c:f>
              <c:strCache>
                <c:ptCount val="4"/>
                <c:pt idx="0">
                  <c:v>P1</c:v>
                </c:pt>
                <c:pt idx="1">
                  <c:v>P2</c:v>
                </c:pt>
                <c:pt idx="2">
                  <c:v>P3</c:v>
                </c:pt>
                <c:pt idx="3">
                  <c:v>P4</c:v>
                </c:pt>
              </c:strCache>
            </c:strRef>
          </c:cat>
          <c:val>
            <c:numRef>
              <c:f>Pointheights3_Height8_Press!$U$13:$U$16</c:f>
              <c:numCache>
                <c:formatCode>General</c:formatCode>
                <c:ptCount val="4"/>
                <c:pt idx="0">
                  <c:v>3.0375000000000001</c:v>
                </c:pt>
                <c:pt idx="1">
                  <c:v>2.9375</c:v>
                </c:pt>
                <c:pt idx="2">
                  <c:v>2.2000000000000002</c:v>
                </c:pt>
                <c:pt idx="3">
                  <c:v>2.6625000000000001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241279744"/>
        <c:axId val="241339392"/>
      </c:barChart>
      <c:catAx>
        <c:axId val="241279744"/>
        <c:scaling>
          <c:orientation val="minMax"/>
        </c:scaling>
        <c:delete val="0"/>
        <c:axPos val="b"/>
        <c:majorTickMark val="none"/>
        <c:minorTickMark val="none"/>
        <c:tickLblPos val="nextTo"/>
        <c:crossAx val="241339392"/>
        <c:crosses val="autoZero"/>
        <c:auto val="1"/>
        <c:lblAlgn val="ctr"/>
        <c:lblOffset val="100"/>
        <c:noMultiLvlLbl val="0"/>
      </c:catAx>
      <c:valAx>
        <c:axId val="241339392"/>
        <c:scaling>
          <c:orientation val="minMax"/>
        </c:scaling>
        <c:delete val="0"/>
        <c:axPos val="l"/>
        <c:numFmt formatCode="#,##0.00_);[Red]\(#,##0.00\)" sourceLinked="0"/>
        <c:majorTickMark val="none"/>
        <c:minorTickMark val="none"/>
        <c:tickLblPos val="nextTo"/>
        <c:crossAx val="24127974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1</Pages>
  <Words>206</Words>
  <Characters>1179</Characters>
  <Application>Microsoft Office Word</Application>
  <DocSecurity>0</DocSecurity>
  <Lines>9</Lines>
  <Paragraphs>2</Paragraphs>
  <ScaleCrop>false</ScaleCrop>
  <Company>Microsoft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2017-07-14T00:48:00Z</dcterms:created>
  <dcterms:modified xsi:type="dcterms:W3CDTF">2017-07-19T02:09:00Z</dcterms:modified>
</cp:coreProperties>
</file>