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drawing>
          <wp:inline xmlns:a="http://schemas.openxmlformats.org/drawingml/2006/main" xmlns:pic="http://schemas.openxmlformats.org/drawingml/2006/picture">
            <wp:extent cx="2560320" cy="410830"/>
            <wp:docPr id="1" name="Picture 1"/>
            <wp:cNvGraphicFramePr>
              <a:graphicFrameLocks noChangeAspect="1"/>
            </wp:cNvGraphicFramePr>
            <a:graphic>
              <a:graphicData uri="http://schemas.openxmlformats.org/drawingml/2006/picture">
                <pic:pic>
                  <pic:nvPicPr>
                    <pic:cNvPr id="0" name="ProcureFlow-Title.png"/>
                    <pic:cNvPicPr/>
                  </pic:nvPicPr>
                  <pic:blipFill>
                    <a:blip r:embed="rId9"/>
                    <a:stretch>
                      <a:fillRect/>
                    </a:stretch>
                  </pic:blipFill>
                  <pic:spPr>
                    <a:xfrm>
                      <a:off x="0" y="0"/>
                      <a:ext cx="2560320" cy="410830"/>
                    </a:xfrm>
                    <a:prstGeom prst="rect"/>
                  </pic:spPr>
                </pic:pic>
              </a:graphicData>
            </a:graphic>
          </wp:inline>
        </w:drawing>
      </w:r>
    </w:p>
    <w:p>
      <w:pPr>
        <w:spacing w:after="40" w:before="80"/>
      </w:pPr>
      <w:r>
        <w:rPr>
          <w:rFonts w:ascii="Calibri" w:hAnsi="Calibri"/>
          <w:b/>
          <w:color w:val="0F294A"/>
          <w:sz w:val="40"/>
        </w:rPr>
        <w:t>Feature Release Brief: Dynamic Supplier Stock &amp; 48-Hour Reservations</w:t>
      </w:r>
    </w:p>
    <w:p>
      <w:pPr>
        <w:spacing w:after="240"/>
      </w:pPr>
      <w:r>
        <w:rPr>
          <w:rFonts w:ascii="Calibri" w:hAnsi="Calibri"/>
          <w:i/>
          <w:color w:val="64748B"/>
          <w:sz w:val="22"/>
        </w:rPr>
        <w:t>Real-time available stock visibility, automated 48h fair-share reservations, and supplier stock analytics.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0F294A"/>
            <w:tcMar>
              <w:top w:w="80" w:type="dxa"/>
              <w:bottom w:w="6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before="0"/>
            </w:pPr>
            <w:r>
              <w:rPr>
                <w:b/>
                <w:color w:val="FFFFFF"/>
                <w:sz w:val="16"/>
              </w:rPr>
              <w:t>RELEASE DATE</w:t>
            </w:r>
          </w:p>
        </w:tc>
        <w:tc>
          <w:tcPr>
            <w:tcW w:type="dxa" w:w="2484"/>
            <w:shd w:fill="0F294A"/>
            <w:tcMar>
              <w:top w:w="80" w:type="dxa"/>
              <w:bottom w:w="6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before="0"/>
            </w:pPr>
            <w:r>
              <w:rPr>
                <w:b/>
                <w:color w:val="FFFFFF"/>
                <w:sz w:val="16"/>
              </w:rPr>
              <w:t>VERSION</w:t>
            </w:r>
          </w:p>
        </w:tc>
        <w:tc>
          <w:tcPr>
            <w:tcW w:type="dxa" w:w="2484"/>
            <w:shd w:fill="0F294A"/>
            <w:tcMar>
              <w:top w:w="80" w:type="dxa"/>
              <w:bottom w:w="6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before="0"/>
            </w:pPr>
            <w:r>
              <w:rPr>
                <w:b/>
                <w:color w:val="FFFFFF"/>
                <w:sz w:val="16"/>
              </w:rPr>
              <w:t>AUDIENCE</w:t>
            </w:r>
          </w:p>
        </w:tc>
        <w:tc>
          <w:tcPr>
            <w:tcW w:type="dxa" w:w="2484"/>
            <w:shd w:fill="0F294A"/>
            <w:tcMar>
              <w:top w:w="80" w:type="dxa"/>
              <w:bottom w:w="6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before="0"/>
            </w:pPr>
            <w:r>
              <w:rPr>
                <w:b/>
                <w:color w:val="FFFFFF"/>
                <w:sz w:val="16"/>
              </w:rPr>
              <w:t>MODULE</w:t>
            </w:r>
          </w:p>
        </w:tc>
      </w:tr>
      <w:tr>
        <w:tc>
          <w:tcPr>
            <w:tcW w:type="dxa" w:w="2484"/>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before="0"/>
            </w:pPr>
            <w:r>
              <w:rPr>
                <w:b/>
                <w:color w:val="0F294A"/>
                <w:sz w:val="19"/>
              </w:rPr>
              <w:t>24 September 2026</w:t>
            </w:r>
          </w:p>
        </w:tc>
        <w:tc>
          <w:tcPr>
            <w:tcW w:type="dxa" w:w="2484"/>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before="0"/>
            </w:pPr>
            <w:r>
              <w:rPr>
                <w:b/>
                <w:color w:val="0F294A"/>
                <w:sz w:val="19"/>
              </w:rPr>
              <w:t>Release v2.4 (Live)</w:t>
            </w:r>
          </w:p>
        </w:tc>
        <w:tc>
          <w:tcPr>
            <w:tcW w:type="dxa" w:w="2484"/>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before="0"/>
            </w:pPr>
            <w:r>
              <w:rPr>
                <w:b/>
                <w:color w:val="0F294A"/>
                <w:sz w:val="19"/>
              </w:rPr>
              <w:t>Requisitioners, Approvers, Buyers</w:t>
            </w:r>
          </w:p>
        </w:tc>
        <w:tc>
          <w:tcPr>
            <w:tcW w:type="dxa" w:w="2484"/>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before="0"/>
            </w:pPr>
            <w:r>
              <w:rPr>
                <w:b/>
                <w:color w:val="0F294A"/>
                <w:sz w:val="19"/>
              </w:rPr>
              <w:t>Stock &amp; Requisitions</w:t>
            </w:r>
          </w:p>
        </w:tc>
      </w:tr>
    </w:tbl>
    <w:p>
      <w:pPr>
        <w:spacing w:after="160"/>
      </w:pPr>
    </w:p>
    <w:tbl>
      <w:tblPr>
        <w:tblW w:type="auto" w:w="0"/>
        <w:tblLook w:firstColumn="1" w:firstRow="1" w:lastColumn="0" w:lastRow="0" w:noHBand="0" w:noVBand="1" w:val="04A0"/>
      </w:tblPr>
      <w:tblGrid>
        <w:gridCol w:w="9936"/>
      </w:tblGrid>
      <w:tr>
        <w:tc>
          <w:tcPr>
            <w:tcW w:type="dxa" w:w="9936"/>
            <w:shd w:fill="EFF6FF"/>
            <w:tcBorders>
              <w:left w:val="single" w:sz="36" w:space="0" w:color="2563EB"/>
              <w:top w:val="none"/>
              <w:right w:val="none"/>
              <w:bottom w:val="none"/>
            </w:tcBorders>
            <w:tcMar>
              <w:top w:w="140" w:type="dxa"/>
              <w:bottom w:w="140" w:type="dxa"/>
              <w:left w:w="180" w:type="dxa"/>
              <w:right w:w="180" w:type="dxa"/>
            </w:tcMar>
          </w:tcPr>
          <w:p>
            <w:pPr>
              <w:spacing w:after="80"/>
            </w:pPr>
            <w:r>
              <w:rPr>
                <w:b/>
                <w:color w:val="1E40AF"/>
                <w:sz w:val="22"/>
              </w:rPr>
              <w:t>Executive Overview: Accurate Stock &amp; Fair Inventory Allocation</w:t>
              <w:br/>
            </w:r>
            <w:r>
              <w:rPr>
                <w:color w:val="1E293B"/>
                <w:sz w:val="20"/>
              </w:rPr>
              <w:t>To prevent duplicate ordering and eliminate 'ghost stock' across SPL plants, ProcureFlow now tracks a live running total of available supplier stock. Approved requests place inventory into a temporary 48-hour reservation holding pattern. If a Concur PO # is not linked within 48 hours, the order is automatically cancelled and the reserved stock is returned to the available pool for all other users.</w:t>
            </w:r>
          </w:p>
        </w:tc>
      </w:tr>
    </w:tbl>
    <w:p>
      <w:pPr>
        <w:spacing w:after="160"/>
      </w:pPr>
    </w:p>
    <w:p>
      <w:pPr>
        <w:keepNext/>
        <w:spacing w:before="280" w:after="80"/>
        <w:pBdr>
          <w:bottom w:val="single" w:sz="8" w:space="4" w:color="CBD5E1"/>
        </w:pBdr>
      </w:pPr>
      <w:r>
        <w:rPr>
          <w:rFonts w:ascii="Calibri" w:hAnsi="Calibri"/>
          <w:b/>
          <w:color w:val="0F294A"/>
          <w:sz w:val="28"/>
        </w:rPr>
        <w:t>Key Enhancements &amp; How They Work</w:t>
      </w:r>
    </w:p>
    <w:p>
      <w:pPr>
        <w:pStyle w:val="ListBullet"/>
        <w:spacing w:before="40" w:after="80"/>
        <w:ind w:left="360"/>
      </w:pPr>
      <w:r>
        <w:rPr>
          <w:b/>
          <w:color w:val="0F294A"/>
        </w:rPr>
        <w:t xml:space="preserve">1. Real-Time Dynamic Running Stock: </w:t>
      </w:r>
      <w:r>
        <w:rPr>
          <w:color w:val="1E293B"/>
        </w:rPr>
        <w:t>Stock availability is no longer static between weekly supplier reports. ProcureFlow starts with the most recent supplier Stock-on-Hand (SOH) snapshot and continuously deducts both active reservations and committed orders in real time. The orderable quantity shown in the catalogue represents true, available inventory.</w:t>
      </w:r>
    </w:p>
    <w:p>
      <w:pPr>
        <w:pStyle w:val="ListBullet"/>
        <w:spacing w:before="40" w:after="80"/>
        <w:ind w:left="360"/>
      </w:pPr>
      <w:r>
        <w:rPr>
          <w:b/>
          <w:color w:val="0F294A"/>
        </w:rPr>
        <w:t xml:space="preserve">2. Automated 48-Hour Stock Reservations: </w:t>
      </w:r>
      <w:r>
        <w:rPr>
          <w:color w:val="1E293B"/>
        </w:rPr>
        <w:t>The moment a requisition receives final approval, its items are placed into a 'Reserved' state. This temporarily earmarks the stock for that plant, preventing other sites from ordering the same inventory while procurement processes the purchase order.</w:t>
      </w:r>
    </w:p>
    <w:p>
      <w:pPr>
        <w:pStyle w:val="ListBullet"/>
        <w:spacing w:before="40" w:after="80"/>
        <w:ind w:left="360"/>
      </w:pPr>
      <w:r>
        <w:rPr>
          <w:b/>
          <w:color w:val="0F294A"/>
        </w:rPr>
        <w:t xml:space="preserve">3. Live Real-Time Countdown Badges: </w:t>
      </w:r>
      <w:r>
        <w:rPr>
          <w:color w:val="1E293B"/>
        </w:rPr>
        <w:t>Every approved request features a visible countdown timer showing exactly how much time remains on the reservation. Color-coded urgency indicators keep buyers and requesters informed:</w:t>
      </w:r>
    </w:p>
    <w:tbl>
      <w:tblPr>
        <w:tblW w:type="auto" w:w="0"/>
        <w:jc w:val="center"/>
        <w:tblLook w:firstColumn="1" w:firstRow="1" w:lastColumn="0" w:lastRow="0" w:noHBand="0" w:noVBand="1" w:val="04A0"/>
      </w:tblPr>
      <w:tblGrid>
        <w:gridCol w:w="3312"/>
        <w:gridCol w:w="3312"/>
        <w:gridCol w:w="3312"/>
      </w:tblGrid>
      <w:tr>
        <w:tc>
          <w:tcPr>
            <w:tcW w:type="dxa" w:w="3312"/>
            <w:shd w:fill="0F294A"/>
            <w:tcMar>
              <w:top w:w="60" w:type="dxa"/>
              <w:bottom w:w="60" w:type="dxa"/>
              <w:left w:w="100" w:type="dxa"/>
              <w:right w:w="100" w:type="dxa"/>
            </w:tcMar>
          </w:tcPr>
          <w:p>
            <w:r>
              <w:rPr>
                <w:b/>
                <w:color w:val="FFFFFF"/>
                <w:sz w:val="18"/>
              </w:rPr>
              <w:t>Urgency Tier</w:t>
            </w:r>
          </w:p>
        </w:tc>
        <w:tc>
          <w:tcPr>
            <w:tcW w:type="dxa" w:w="3312"/>
            <w:shd w:fill="0F294A"/>
            <w:tcMar>
              <w:top w:w="60" w:type="dxa"/>
              <w:bottom w:w="60" w:type="dxa"/>
              <w:left w:w="100" w:type="dxa"/>
              <w:right w:w="100" w:type="dxa"/>
            </w:tcMar>
          </w:tcPr>
          <w:p>
            <w:r>
              <w:rPr>
                <w:b/>
                <w:color w:val="FFFFFF"/>
                <w:sz w:val="18"/>
              </w:rPr>
              <w:t>Time Remaining</w:t>
            </w:r>
          </w:p>
        </w:tc>
        <w:tc>
          <w:tcPr>
            <w:tcW w:type="dxa" w:w="3312"/>
            <w:shd w:fill="0F294A"/>
            <w:tcMar>
              <w:top w:w="60" w:type="dxa"/>
              <w:bottom w:w="60" w:type="dxa"/>
              <w:left w:w="100" w:type="dxa"/>
              <w:right w:w="100" w:type="dxa"/>
            </w:tcMar>
          </w:tcPr>
          <w:p>
            <w:r>
              <w:rPr>
                <w:b/>
                <w:color w:val="FFFFFF"/>
                <w:sz w:val="18"/>
              </w:rPr>
              <w:t>Action Required</w:t>
            </w:r>
          </w:p>
        </w:tc>
      </w:tr>
      <w:tr>
        <w:tc>
          <w:tcPr>
            <w:tcW w:type="dxa" w:w="3312"/>
            <w:shd w:fill="F8FAFC"/>
            <w:tcMar>
              <w:top w:w="60" w:type="dxa"/>
              <w:bottom w:w="60" w:type="dxa"/>
              <w:left w:w="100" w:type="dxa"/>
              <w:right w:w="100" w:type="dxa"/>
            </w:tcMar>
            <w:tcBorders>
              <w:bottom w:val="single" w:sz="4" w:space="0" w:color="E2E8F0"/>
            </w:tcBorders>
          </w:tcPr>
          <w:p>
            <w:r>
              <w:rPr>
                <w:b/>
                <w:color w:val="1E40AF"/>
                <w:sz w:val="18"/>
              </w:rPr>
              <w:t>Normal (Blue)</w:t>
            </w:r>
          </w:p>
        </w:tc>
        <w:tc>
          <w:tcPr>
            <w:tcW w:type="dxa" w:w="3312"/>
            <w:shd w:fill="F8FAFC"/>
            <w:tcMar>
              <w:top w:w="60" w:type="dxa"/>
              <w:bottom w:w="60" w:type="dxa"/>
              <w:left w:w="100" w:type="dxa"/>
              <w:right w:w="100" w:type="dxa"/>
            </w:tcMar>
            <w:tcBorders>
              <w:bottom w:val="single" w:sz="4" w:space="0" w:color="E2E8F0"/>
            </w:tcBorders>
          </w:tcPr>
          <w:p>
            <w:r>
              <w:rPr>
                <w:sz w:val="18"/>
              </w:rPr>
              <w:t>&gt; 24 Hours</w:t>
            </w:r>
          </w:p>
        </w:tc>
        <w:tc>
          <w:tcPr>
            <w:tcW w:type="dxa" w:w="3312"/>
            <w:shd w:fill="F8FAFC"/>
            <w:tcMar>
              <w:top w:w="60" w:type="dxa"/>
              <w:bottom w:w="60" w:type="dxa"/>
              <w:left w:w="100" w:type="dxa"/>
              <w:right w:w="100" w:type="dxa"/>
            </w:tcMar>
            <w:tcBorders>
              <w:bottom w:val="single" w:sz="4" w:space="0" w:color="E2E8F0"/>
            </w:tcBorders>
          </w:tcPr>
          <w:p>
            <w:r>
              <w:rPr>
                <w:sz w:val="18"/>
              </w:rPr>
              <w:t>Order is comfortably within the procurement processing window.</w:t>
            </w:r>
          </w:p>
        </w:tc>
      </w:tr>
      <w:tr>
        <w:tc>
          <w:tcPr>
            <w:tcW w:type="dxa" w:w="3312"/>
            <w:shd w:fill="FFFFFF"/>
            <w:tcMar>
              <w:top w:w="60" w:type="dxa"/>
              <w:bottom w:w="60" w:type="dxa"/>
              <w:left w:w="100" w:type="dxa"/>
              <w:right w:w="100" w:type="dxa"/>
            </w:tcMar>
            <w:tcBorders>
              <w:bottom w:val="single" w:sz="4" w:space="0" w:color="E2E8F0"/>
            </w:tcBorders>
          </w:tcPr>
          <w:p>
            <w:r>
              <w:rPr>
                <w:b/>
                <w:color w:val="D97706"/>
                <w:sz w:val="18"/>
              </w:rPr>
              <w:t>Warning (Amber)</w:t>
            </w:r>
          </w:p>
        </w:tc>
        <w:tc>
          <w:tcPr>
            <w:tcW w:type="dxa" w:w="3312"/>
            <w:shd w:fill="FFFFFF"/>
            <w:tcMar>
              <w:top w:w="60" w:type="dxa"/>
              <w:bottom w:w="60" w:type="dxa"/>
              <w:left w:w="100" w:type="dxa"/>
              <w:right w:w="100" w:type="dxa"/>
            </w:tcMar>
            <w:tcBorders>
              <w:bottom w:val="single" w:sz="4" w:space="0" w:color="E2E8F0"/>
            </w:tcBorders>
          </w:tcPr>
          <w:p>
            <w:r>
              <w:rPr>
                <w:sz w:val="18"/>
              </w:rPr>
              <w:t>12 to 24 Hours</w:t>
            </w:r>
          </w:p>
        </w:tc>
        <w:tc>
          <w:tcPr>
            <w:tcW w:type="dxa" w:w="3312"/>
            <w:shd w:fill="FFFFFF"/>
            <w:tcMar>
              <w:top w:w="60" w:type="dxa"/>
              <w:bottom w:w="60" w:type="dxa"/>
              <w:left w:w="100" w:type="dxa"/>
              <w:right w:w="100" w:type="dxa"/>
            </w:tcMar>
            <w:tcBorders>
              <w:bottom w:val="single" w:sz="4" w:space="0" w:color="E2E8F0"/>
            </w:tcBorders>
          </w:tcPr>
          <w:p>
            <w:r>
              <w:rPr>
                <w:sz w:val="18"/>
              </w:rPr>
              <w:t>Priority reminder: Concur PO # should be requested or entered promptly.</w:t>
            </w:r>
          </w:p>
        </w:tc>
      </w:tr>
      <w:tr>
        <w:tc>
          <w:tcPr>
            <w:tcW w:type="dxa" w:w="3312"/>
            <w:shd w:fill="F8FAFC"/>
            <w:tcMar>
              <w:top w:w="60" w:type="dxa"/>
              <w:bottom w:w="60" w:type="dxa"/>
              <w:left w:w="100" w:type="dxa"/>
              <w:right w:w="100" w:type="dxa"/>
            </w:tcMar>
            <w:tcBorders>
              <w:bottom w:val="single" w:sz="4" w:space="0" w:color="E2E8F0"/>
            </w:tcBorders>
          </w:tcPr>
          <w:p>
            <w:r>
              <w:rPr>
                <w:b/>
                <w:color w:val="DC2626"/>
                <w:sz w:val="18"/>
              </w:rPr>
              <w:t>Critical (Red / Pulse)</w:t>
            </w:r>
          </w:p>
        </w:tc>
        <w:tc>
          <w:tcPr>
            <w:tcW w:type="dxa" w:w="3312"/>
            <w:shd w:fill="F8FAFC"/>
            <w:tcMar>
              <w:top w:w="60" w:type="dxa"/>
              <w:bottom w:w="60" w:type="dxa"/>
              <w:left w:w="100" w:type="dxa"/>
              <w:right w:w="100" w:type="dxa"/>
            </w:tcMar>
            <w:tcBorders>
              <w:bottom w:val="single" w:sz="4" w:space="0" w:color="E2E8F0"/>
            </w:tcBorders>
          </w:tcPr>
          <w:p>
            <w:r>
              <w:rPr>
                <w:sz w:val="18"/>
              </w:rPr>
              <w:t>&lt; 12 Hours</w:t>
            </w:r>
          </w:p>
        </w:tc>
        <w:tc>
          <w:tcPr>
            <w:tcW w:type="dxa" w:w="3312"/>
            <w:shd w:fill="F8FAFC"/>
            <w:tcMar>
              <w:top w:w="60" w:type="dxa"/>
              <w:bottom w:w="60" w:type="dxa"/>
              <w:left w:w="100" w:type="dxa"/>
              <w:right w:w="100" w:type="dxa"/>
            </w:tcMar>
            <w:tcBorders>
              <w:bottom w:val="single" w:sz="4" w:space="0" w:color="E2E8F0"/>
            </w:tcBorders>
          </w:tcPr>
          <w:p>
            <w:r>
              <w:rPr>
                <w:sz w:val="18"/>
              </w:rPr>
              <w:t>Urgent action: Order will expire and auto-cancel if PO is not entered today.</w:t>
            </w:r>
          </w:p>
        </w:tc>
      </w:tr>
    </w:tbl>
    <w:p>
      <w:pPr>
        <w:spacing w:after="80"/>
      </w:pPr>
    </w:p>
    <w:p>
      <w:pPr>
        <w:pStyle w:val="ListBullet"/>
        <w:spacing w:before="40" w:after="80"/>
        <w:ind w:left="360"/>
      </w:pPr>
      <w:r>
        <w:rPr>
          <w:b/>
          <w:color w:val="0F294A"/>
        </w:rPr>
        <w:t xml:space="preserve">4. Transition to Committed / In Delivery: </w:t>
      </w:r>
      <w:r>
        <w:rPr>
          <w:color w:val="1E293B"/>
        </w:rPr>
        <w:t>Once a buyer enters the Concur PO #, the order advances to 'Active (Awaiting Delivery)'. The inventory permanently shifts from 'Reserved' to 'Committed', remaining accounted for until delivery dockets and physical stock receipting are fully recorded.</w:t>
      </w:r>
    </w:p>
    <w:p>
      <w:pPr>
        <w:pStyle w:val="ListBullet"/>
        <w:spacing w:before="40" w:after="80"/>
        <w:ind w:left="360"/>
      </w:pPr>
      <w:r>
        <w:rPr>
          <w:b/>
          <w:color w:val="0F294A"/>
        </w:rPr>
        <w:t xml:space="preserve">5. Automated Expiry &amp; Cancellation: </w:t>
      </w:r>
      <w:r>
        <w:rPr>
          <w:color w:val="1E293B"/>
        </w:rPr>
        <w:t>If a Concur PO # is not linked before the 48-hour window closes, ProcureFlow's automated background engine cancels the request, returns the units to available stock, and issues an immediate automated notification to the requester.</w:t>
      </w:r>
    </w:p>
    <w:p>
      <w:pPr>
        <w:keepNext/>
        <w:spacing w:before="280" w:after="80"/>
        <w:pBdr>
          <w:bottom w:val="single" w:sz="8" w:space="4" w:color="CBD5E1"/>
        </w:pBdr>
      </w:pPr>
      <w:r>
        <w:rPr>
          <w:rFonts w:ascii="Calibri" w:hAnsi="Calibri"/>
          <w:b/>
          <w:color w:val="0F294A"/>
          <w:sz w:val="28"/>
        </w:rPr>
        <w:t>New 'Stock &amp; Reservations' Insights Report</w:t>
      </w:r>
    </w:p>
    <w:p>
      <w:pPr>
        <w:spacing w:before="80" w:after="120"/>
      </w:pPr>
      <w:r>
        <w:t xml:space="preserve">A dedicated report has been added under </w:t>
      </w:r>
      <w:r>
        <w:rPr>
          <w:b/>
          <w:color w:val="1E40AF"/>
        </w:rPr>
        <w:t>Reporting ➔ Supplier Insights ➔ Stock Reservations</w:t>
      </w:r>
      <w:r>
        <w:t>, providing full transparency into inventory distribution across suppliers, active holds, and order pipeline health:</w:t>
      </w:r>
    </w:p>
    <w:p>
      <w:pPr>
        <w:pStyle w:val="ListBullet"/>
        <w:spacing w:before="40" w:after="80"/>
        <w:ind w:left="360"/>
      </w:pPr>
      <w:r>
        <w:rPr>
          <w:b/>
          <w:color w:val="0F294A"/>
        </w:rPr>
        <w:t xml:space="preserve">Executive KPI Metric Cards: </w:t>
      </w:r>
      <w:r>
        <w:rPr>
          <w:color w:val="1E293B"/>
        </w:rPr>
        <w:t>Real-time visibility into Total Net Orderable units ($ &amp; units), Active 48h Reserved inventory, Committed in-delivery stock, Reservations Expiring Soon (&lt;24h), and Auto-Cancelled Orders.</w:t>
      </w:r>
    </w:p>
    <w:p>
      <w:pPr>
        <w:pStyle w:val="ListBullet"/>
        <w:spacing w:before="40" w:after="80"/>
        <w:ind w:left="360"/>
      </w:pPr>
      <w:r>
        <w:rPr>
          <w:b/>
          <w:color w:val="0F294A"/>
        </w:rPr>
        <w:t xml:space="preserve">Supplier Stock Breakdown Visual: </w:t>
      </w:r>
      <w:r>
        <w:rPr>
          <w:color w:val="1E293B"/>
        </w:rPr>
        <w:t>Stacked visual chart comparing Available vs Reserved vs Committed stock for every supplier, highlighting items under extreme reservation pressure (&gt;70% held).</w:t>
      </w:r>
    </w:p>
    <w:p>
      <w:pPr>
        <w:pStyle w:val="ListBullet"/>
        <w:spacing w:before="40" w:after="80"/>
        <w:ind w:left="360"/>
      </w:pPr>
      <w:r>
        <w:rPr>
          <w:b/>
          <w:color w:val="0F294A"/>
        </w:rPr>
        <w:t xml:space="preserve">Live 48h Reservation Queue: </w:t>
      </w:r>
      <w:r>
        <w:rPr>
          <w:color w:val="1E293B"/>
        </w:rPr>
        <w:t>Interactive queue allowing procurement officers to filter orders by urgency tier, inspect time remaining down to the minute, and jump directly into the PO with one click.</w:t>
      </w:r>
    </w:p>
    <w:p>
      <w:pPr>
        <w:pStyle w:val="ListBullet"/>
        <w:spacing w:before="40" w:after="80"/>
        <w:ind w:left="360"/>
      </w:pPr>
      <w:r>
        <w:rPr>
          <w:b/>
          <w:color w:val="0F294A"/>
        </w:rPr>
        <w:t xml:space="preserve">Auto-Cancellation Audit Log: </w:t>
      </w:r>
      <w:r>
        <w:rPr>
          <w:color w:val="1E293B"/>
        </w:rPr>
        <w:t>Complete audit log recording every expired requisition, units returned to inventory, and expiration timestamps.</w:t>
      </w:r>
    </w:p>
    <w:p>
      <w:pPr>
        <w:pStyle w:val="ListBullet"/>
        <w:spacing w:before="40" w:after="80"/>
        <w:ind w:left="360"/>
      </w:pPr>
      <w:r>
        <w:rPr>
          <w:b/>
          <w:color w:val="0F294A"/>
        </w:rPr>
        <w:t xml:space="preserve">Comprehensive CSV Export: </w:t>
      </w:r>
      <w:r>
        <w:rPr>
          <w:color w:val="1E293B"/>
        </w:rPr>
        <w:t>Exports the full dataset including internal SKUs, supplier codes, baseline SOH, unit prices, effective stock, and reservation pressure ratings.</w:t>
      </w:r>
    </w:p>
    <w:p>
      <w:pPr>
        <w:keepNext/>
        <w:spacing w:before="280" w:after="80"/>
        <w:pBdr>
          <w:bottom w:val="single" w:sz="8" w:space="4" w:color="CBD5E1"/>
        </w:pBdr>
      </w:pPr>
      <w:r>
        <w:rPr>
          <w:rFonts w:ascii="Calibri" w:hAnsi="Calibri"/>
          <w:b/>
          <w:color w:val="0F294A"/>
          <w:sz w:val="28"/>
        </w:rPr>
        <w:t>What This Means for You: Role-by-Role Guidance</w:t>
      </w:r>
    </w:p>
    <w:tbl>
      <w:tblPr>
        <w:tblW w:type="auto" w:w="0"/>
        <w:jc w:val="center"/>
        <w:tblLook w:firstColumn="1" w:firstRow="1" w:lastColumn="0" w:lastRow="0" w:noHBand="0" w:noVBand="1" w:val="04A0"/>
      </w:tblPr>
      <w:tblGrid>
        <w:gridCol w:w="3312"/>
        <w:gridCol w:w="3312"/>
        <w:gridCol w:w="3312"/>
      </w:tblGrid>
      <w:tr>
        <w:tc>
          <w:tcPr>
            <w:tcW w:type="dxa" w:w="3312"/>
            <w:shd w:fill="0F294A"/>
            <w:tcMar>
              <w:top w:w="80" w:type="dxa"/>
              <w:bottom w:w="80" w:type="dxa"/>
              <w:left w:w="120" w:type="dxa"/>
              <w:right w:w="120" w:type="dxa"/>
            </w:tcMar>
          </w:tcPr>
          <w:p>
            <w:r>
              <w:rPr>
                <w:b/>
                <w:color w:val="FFFFFF"/>
                <w:sz w:val="19"/>
              </w:rPr>
              <w:t>Role</w:t>
            </w:r>
          </w:p>
        </w:tc>
        <w:tc>
          <w:tcPr>
            <w:tcW w:type="dxa" w:w="3312"/>
            <w:shd w:fill="0F294A"/>
            <w:tcMar>
              <w:top w:w="80" w:type="dxa"/>
              <w:bottom w:w="80" w:type="dxa"/>
              <w:left w:w="120" w:type="dxa"/>
              <w:right w:w="120" w:type="dxa"/>
            </w:tcMar>
          </w:tcPr>
          <w:p>
            <w:r>
              <w:rPr>
                <w:b/>
                <w:color w:val="FFFFFF"/>
                <w:sz w:val="19"/>
              </w:rPr>
              <w:t>Key Benefits</w:t>
            </w:r>
          </w:p>
        </w:tc>
        <w:tc>
          <w:tcPr>
            <w:tcW w:type="dxa" w:w="3312"/>
            <w:shd w:fill="0F294A"/>
            <w:tcMar>
              <w:top w:w="80" w:type="dxa"/>
              <w:bottom w:w="80" w:type="dxa"/>
              <w:left w:w="120" w:type="dxa"/>
              <w:right w:w="120" w:type="dxa"/>
            </w:tcMar>
          </w:tcPr>
          <w:p>
            <w:r>
              <w:rPr>
                <w:b/>
                <w:color w:val="FFFFFF"/>
                <w:sz w:val="19"/>
              </w:rPr>
              <w:t>Action Items &amp; Best Practices</w:t>
            </w:r>
          </w:p>
        </w:tc>
      </w:tr>
      <w:tr>
        <w:tc>
          <w:tcPr>
            <w:tcW w:type="dxa" w:w="3312"/>
            <w:shd w:fill="F8FAFC"/>
            <w:tcMar>
              <w:top w:w="80" w:type="dxa"/>
              <w:bottom w:w="80" w:type="dxa"/>
              <w:left w:w="120" w:type="dxa"/>
              <w:right w:w="120" w:type="dxa"/>
            </w:tcMar>
            <w:tcBorders>
              <w:bottom w:val="single" w:sz="4" w:space="0" w:color="CBD5E1"/>
              <w:left w:val="single" w:sz="4" w:space="0" w:color="CBD5E1"/>
              <w:right w:val="single" w:sz="4" w:space="0" w:color="CBD5E1"/>
            </w:tcBorders>
          </w:tcPr>
          <w:p>
            <w:pPr>
              <w:spacing w:before="0" w:after="0"/>
            </w:pPr>
            <w:r>
              <w:rPr>
                <w:b/>
                <w:color w:val="0F294A"/>
                <w:sz w:val="18"/>
              </w:rPr>
              <w:t>Requisitioners</w:t>
              <w:br/>
              <w:t>(Site / Plant)</w:t>
            </w:r>
          </w:p>
        </w:tc>
        <w:tc>
          <w:tcPr>
            <w:tcW w:type="dxa" w:w="3312"/>
            <w:shd w:fill="F8FAFC"/>
            <w:tcMar>
              <w:top w:w="80" w:type="dxa"/>
              <w:bottom w:w="80" w:type="dxa"/>
              <w:left w:w="120" w:type="dxa"/>
              <w:right w:w="120" w:type="dxa"/>
            </w:tcMar>
            <w:tcBorders>
              <w:bottom w:val="single" w:sz="4" w:space="0" w:color="CBD5E1"/>
              <w:left w:val="single" w:sz="4" w:space="0" w:color="CBD5E1"/>
              <w:right w:val="single" w:sz="4" w:space="0" w:color="CBD5E1"/>
            </w:tcBorders>
          </w:tcPr>
          <w:p>
            <w:pPr>
              <w:spacing w:before="0" w:after="0"/>
            </w:pPr>
            <w:r>
              <w:rPr>
                <w:sz w:val="18"/>
              </w:rPr>
              <w:t>• Immediate confirmation that approved items are held exclusively for your plant.</w:t>
              <w:br/>
              <w:t>• Accurate catalogue stock prevents wasted requests.</w:t>
            </w:r>
          </w:p>
        </w:tc>
        <w:tc>
          <w:tcPr>
            <w:tcW w:type="dxa" w:w="3312"/>
            <w:shd w:fill="F8FAFC"/>
            <w:tcMar>
              <w:top w:w="80" w:type="dxa"/>
              <w:bottom w:w="80" w:type="dxa"/>
              <w:left w:w="120" w:type="dxa"/>
              <w:right w:w="120" w:type="dxa"/>
            </w:tcMar>
            <w:tcBorders>
              <w:bottom w:val="single" w:sz="4" w:space="0" w:color="CBD5E1"/>
              <w:left w:val="single" w:sz="4" w:space="0" w:color="CBD5E1"/>
              <w:right w:val="single" w:sz="4" w:space="0" w:color="CBD5E1"/>
            </w:tcBorders>
          </w:tcPr>
          <w:p>
            <w:pPr>
              <w:spacing w:before="0" w:after="0"/>
            </w:pPr>
            <w:r>
              <w:rPr>
                <w:sz w:val="18"/>
              </w:rPr>
              <w:t>• Check the available stock pill when browsing the catalogue.</w:t>
              <w:br/>
              <w:t>• Once approved, track your order's 48h countdown badge.</w:t>
              <w:br/>
              <w:t>• Promptly check your email / notifications if your order is nearing 12h remaining.</w:t>
            </w:r>
          </w:p>
        </w:tc>
      </w:tr>
      <w:tr>
        <w:tc>
          <w:tcPr>
            <w:tcW w:type="dxa" w:w="3312"/>
            <w:shd w:fill="FFFFFF"/>
            <w:tcMar>
              <w:top w:w="80" w:type="dxa"/>
              <w:bottom w:w="80" w:type="dxa"/>
              <w:left w:w="120" w:type="dxa"/>
              <w:right w:w="120" w:type="dxa"/>
            </w:tcMar>
            <w:tcBorders>
              <w:bottom w:val="single" w:sz="4" w:space="0" w:color="CBD5E1"/>
              <w:left w:val="single" w:sz="4" w:space="0" w:color="CBD5E1"/>
              <w:right w:val="single" w:sz="4" w:space="0" w:color="CBD5E1"/>
            </w:tcBorders>
          </w:tcPr>
          <w:p>
            <w:pPr>
              <w:spacing w:before="0" w:after="0"/>
            </w:pPr>
            <w:r>
              <w:rPr>
                <w:b/>
                <w:color w:val="0F294A"/>
                <w:sz w:val="18"/>
              </w:rPr>
              <w:t>Procurement Officers</w:t>
              <w:br/>
              <w:t>(Buyers)</w:t>
            </w:r>
          </w:p>
        </w:tc>
        <w:tc>
          <w:tcPr>
            <w:tcW w:type="dxa" w:w="3312"/>
            <w:shd w:fill="FFFFFF"/>
            <w:tcMar>
              <w:top w:w="80" w:type="dxa"/>
              <w:bottom w:w="80" w:type="dxa"/>
              <w:left w:w="120" w:type="dxa"/>
              <w:right w:w="120" w:type="dxa"/>
            </w:tcMar>
            <w:tcBorders>
              <w:bottom w:val="single" w:sz="4" w:space="0" w:color="CBD5E1"/>
              <w:left w:val="single" w:sz="4" w:space="0" w:color="CBD5E1"/>
              <w:right w:val="single" w:sz="4" w:space="0" w:color="CBD5E1"/>
            </w:tcBorders>
          </w:tcPr>
          <w:p>
            <w:pPr>
              <w:spacing w:before="0" w:after="0"/>
            </w:pPr>
            <w:r>
              <w:rPr>
                <w:sz w:val="18"/>
              </w:rPr>
              <w:t>• Prevents stock being double-allocated to competing plants.</w:t>
              <w:br/>
              <w:t>• Prioritized queue flags orders needing immediate Concur PO # generation.</w:t>
            </w:r>
          </w:p>
        </w:tc>
        <w:tc>
          <w:tcPr>
            <w:tcW w:type="dxa" w:w="3312"/>
            <w:shd w:fill="FFFFFF"/>
            <w:tcMar>
              <w:top w:w="80" w:type="dxa"/>
              <w:bottom w:w="80" w:type="dxa"/>
              <w:left w:w="120" w:type="dxa"/>
              <w:right w:w="120" w:type="dxa"/>
            </w:tcMar>
            <w:tcBorders>
              <w:bottom w:val="single" w:sz="4" w:space="0" w:color="CBD5E1"/>
              <w:left w:val="single" w:sz="4" w:space="0" w:color="CBD5E1"/>
              <w:right w:val="single" w:sz="4" w:space="0" w:color="CBD5E1"/>
            </w:tcBorders>
          </w:tcPr>
          <w:p>
            <w:pPr>
              <w:spacing w:before="0" w:after="0"/>
            </w:pPr>
            <w:r>
              <w:rPr>
                <w:sz w:val="18"/>
              </w:rPr>
              <w:t>• Monitor the 'Pending Concur PO #' filter in your Task Drawer.</w:t>
              <w:br/>
              <w:t>• Prioritize orders showing amber or red countdown badges.</w:t>
              <w:br/>
              <w:t>• Enter the Concur PO # promptly to secure inventory into 'Active' delivery status.</w:t>
            </w:r>
          </w:p>
        </w:tc>
      </w:tr>
      <w:tr>
        <w:tc>
          <w:tcPr>
            <w:tcW w:type="dxa" w:w="3312"/>
            <w:shd w:fill="F8FAFC"/>
            <w:tcMar>
              <w:top w:w="80" w:type="dxa"/>
              <w:bottom w:w="80" w:type="dxa"/>
              <w:left w:w="120" w:type="dxa"/>
              <w:right w:w="120" w:type="dxa"/>
            </w:tcMar>
            <w:tcBorders>
              <w:bottom w:val="single" w:sz="4" w:space="0" w:color="CBD5E1"/>
              <w:left w:val="single" w:sz="4" w:space="0" w:color="CBD5E1"/>
              <w:right w:val="single" w:sz="4" w:space="0" w:color="CBD5E1"/>
            </w:tcBorders>
          </w:tcPr>
          <w:p>
            <w:pPr>
              <w:spacing w:before="0" w:after="0"/>
            </w:pPr>
            <w:r>
              <w:rPr>
                <w:b/>
                <w:color w:val="0F294A"/>
                <w:sz w:val="18"/>
              </w:rPr>
              <w:t>Approvers &amp;</w:t>
              <w:br/>
              <w:t>Plant Managers</w:t>
            </w:r>
          </w:p>
        </w:tc>
        <w:tc>
          <w:tcPr>
            <w:tcW w:type="dxa" w:w="3312"/>
            <w:shd w:fill="F8FAFC"/>
            <w:tcMar>
              <w:top w:w="80" w:type="dxa"/>
              <w:bottom w:w="80" w:type="dxa"/>
              <w:left w:w="120" w:type="dxa"/>
              <w:right w:w="120" w:type="dxa"/>
            </w:tcMar>
            <w:tcBorders>
              <w:bottom w:val="single" w:sz="4" w:space="0" w:color="CBD5E1"/>
              <w:left w:val="single" w:sz="4" w:space="0" w:color="CBD5E1"/>
              <w:right w:val="single" w:sz="4" w:space="0" w:color="CBD5E1"/>
            </w:tcBorders>
          </w:tcPr>
          <w:p>
            <w:pPr>
              <w:spacing w:before="0" w:after="0"/>
            </w:pPr>
            <w:r>
              <w:rPr>
                <w:sz w:val="18"/>
              </w:rPr>
              <w:t>• Confidence that approved requests correspond to confirmed available supplier stock.</w:t>
              <w:br/>
              <w:t>• Automated cleanup of stale or abandoned orders.</w:t>
            </w:r>
          </w:p>
        </w:tc>
        <w:tc>
          <w:tcPr>
            <w:tcW w:type="dxa" w:w="3312"/>
            <w:shd w:fill="F8FAFC"/>
            <w:tcMar>
              <w:top w:w="80" w:type="dxa"/>
              <w:bottom w:w="80" w:type="dxa"/>
              <w:left w:w="120" w:type="dxa"/>
              <w:right w:w="120" w:type="dxa"/>
            </w:tcMar>
            <w:tcBorders>
              <w:bottom w:val="single" w:sz="4" w:space="0" w:color="CBD5E1"/>
              <w:left w:val="single" w:sz="4" w:space="0" w:color="CBD5E1"/>
              <w:right w:val="single" w:sz="4" w:space="0" w:color="CBD5E1"/>
            </w:tcBorders>
          </w:tcPr>
          <w:p>
            <w:pPr>
              <w:spacing w:before="0" w:after="0"/>
            </w:pPr>
            <w:r>
              <w:rPr>
                <w:sz w:val="18"/>
              </w:rPr>
              <w:t>• Approve requisitions promptly so buyers receive the full 48-hour procurement window.</w:t>
              <w:br/>
              <w:t>• Review the Stock Reservations report to monitor supplier stock trends and site demand.</w:t>
            </w:r>
          </w:p>
        </w:tc>
      </w:tr>
    </w:tbl>
    <w:p>
      <w:pPr>
        <w:spacing w:after="120"/>
      </w:pPr>
    </w:p>
    <w:p>
      <w:pPr>
        <w:keepNext/>
        <w:spacing w:before="280" w:after="80"/>
        <w:pBdr>
          <w:bottom w:val="single" w:sz="8" w:space="4" w:color="CBD5E1"/>
        </w:pBdr>
      </w:pPr>
      <w:r>
        <w:rPr>
          <w:rFonts w:ascii="Calibri" w:hAnsi="Calibri"/>
          <w:b/>
          <w:color w:val="0F294A"/>
          <w:sz w:val="28"/>
        </w:rPr>
        <w:t>Frequently Asked Questions (FAQ)</w:t>
      </w:r>
    </w:p>
    <w:p>
      <w:pPr>
        <w:keepNext/>
        <w:spacing w:before="120" w:after="40"/>
      </w:pPr>
      <w:r>
        <w:rPr>
          <w:b/>
          <w:color w:val="1E40AF"/>
          <w:sz w:val="20"/>
        </w:rPr>
        <w:t>Q: What happens if an order is auto-cancelled after 48 hours?</w:t>
      </w:r>
    </w:p>
    <w:p>
      <w:pPr>
        <w:spacing w:before="0" w:after="120"/>
      </w:pPr>
      <w:r>
        <w:rPr>
          <w:color w:val="334155"/>
          <w:sz w:val="19"/>
        </w:rPr>
        <w:t>A: The request moves to 'Cancelled' status and its reserved items are immediately returned to available supplier stock for any plant to request. The requester receives an automated system alert with full order details. If the items are still required, a new requisition can be raised.</w:t>
      </w:r>
    </w:p>
    <w:p>
      <w:pPr>
        <w:keepNext/>
        <w:spacing w:before="120" w:after="40"/>
      </w:pPr>
      <w:r>
        <w:rPr>
          <w:b/>
          <w:color w:val="1E40AF"/>
          <w:sz w:val="20"/>
        </w:rPr>
        <w:t>Q: Can a reservation be extended beyond 48 hours?</w:t>
      </w:r>
    </w:p>
    <w:p>
      <w:pPr>
        <w:spacing w:before="0" w:after="120"/>
      </w:pPr>
      <w:r>
        <w:rPr>
          <w:color w:val="334155"/>
          <w:sz w:val="19"/>
        </w:rPr>
        <w:t>A: The 48-hour window is intentionally strict to enforce fair stock allocation across all national sites and prevent stock locking. Procurement teams should prioritize orders displaying Warning (&lt;24h) or Critical (&lt;12h) badges.</w:t>
      </w:r>
    </w:p>
    <w:p>
      <w:pPr>
        <w:keepNext/>
        <w:spacing w:before="120" w:after="40"/>
      </w:pPr>
      <w:r>
        <w:rPr>
          <w:b/>
          <w:color w:val="1E40AF"/>
          <w:sz w:val="20"/>
        </w:rPr>
        <w:t>Q: How does this interact with weekly supplier inventory spreadsheets?</w:t>
      </w:r>
    </w:p>
    <w:p>
      <w:pPr>
        <w:spacing w:before="0" w:after="120"/>
      </w:pPr>
      <w:r>
        <w:rPr>
          <w:color w:val="334155"/>
          <w:sz w:val="19"/>
        </w:rPr>
        <w:t>A: ProcureFlow seamlessly reconciles weekly supplier inventory uploads against active reservations. New weekly reports reset the baseline SOH, while unfulfilled committed orders and active 48h reservations continue to deduct dynamically.</w:t>
      </w:r>
    </w:p>
    <w:p>
      <w:pPr>
        <w:keepNext/>
        <w:spacing w:before="120" w:after="40"/>
      </w:pPr>
      <w:r>
        <w:rPr>
          <w:b/>
          <w:color w:val="1E40AF"/>
          <w:sz w:val="20"/>
        </w:rPr>
        <w:t>Q: What happens when an order is partially delivered?</w:t>
      </w:r>
    </w:p>
    <w:p>
      <w:pPr>
        <w:spacing w:before="0" w:after="120"/>
      </w:pPr>
      <w:r>
        <w:rPr>
          <w:color w:val="334155"/>
          <w:sz w:val="19"/>
        </w:rPr>
        <w:t>A: Only unreceived quantities remain committed. For example, if 50 units were ordered and 30 have been receipted, only the remaining 20 units continue to be deducted from available supplier stock.</w:t>
      </w:r>
    </w:p>
    <w:p>
      <w:pPr>
        <w:keepNext/>
        <w:spacing w:before="280" w:after="80"/>
        <w:pBdr>
          <w:bottom w:val="single" w:sz="8" w:space="4" w:color="CBD5E1"/>
        </w:pBdr>
      </w:pPr>
      <w:r>
        <w:rPr>
          <w:rFonts w:ascii="Calibri" w:hAnsi="Calibri"/>
          <w:b/>
          <w:color w:val="0F294A"/>
          <w:sz w:val="28"/>
        </w:rPr>
        <w:t>Questions &amp; Support</w:t>
      </w:r>
    </w:p>
    <w:p>
      <w:pPr>
        <w:spacing w:before="80" w:after="120"/>
      </w:pPr>
      <w:r>
        <w:t>For system support, supplier stock discrepancies, or questions regarding dynamic reservations:</w:t>
        <w:br/>
      </w:r>
    </w:p>
    <w:p>
      <w:pPr>
        <w:pStyle w:val="ListBullet"/>
        <w:spacing w:before="40" w:after="80"/>
        <w:ind w:left="360"/>
      </w:pPr>
      <w:r>
        <w:rPr>
          <w:b/>
          <w:color w:val="0F294A"/>
        </w:rPr>
        <w:t xml:space="preserve">ProcureFlow Support Desk: </w:t>
      </w:r>
      <w:r>
        <w:rPr>
          <w:color w:val="1E293B"/>
        </w:rPr>
        <w:t>Submit a ticket via the in-app Help Guide &amp; Feedback drawer.</w:t>
      </w:r>
    </w:p>
    <w:p>
      <w:pPr>
        <w:pStyle w:val="ListBullet"/>
        <w:spacing w:before="40" w:after="80"/>
        <w:ind w:left="360"/>
      </w:pPr>
      <w:r>
        <w:rPr>
          <w:b/>
          <w:color w:val="0F294A"/>
        </w:rPr>
        <w:t xml:space="preserve">Procurement Systems Team: </w:t>
      </w:r>
      <w:r>
        <w:rPr>
          <w:color w:val="1E293B"/>
        </w:rPr>
        <w:t>Contact your central procurement category manager or buyer.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