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83226" w14:textId="77777777" w:rsidR="00CF3607" w:rsidRDefault="005F130B">
      <w:pPr>
        <w:spacing w:after="40"/>
      </w:pPr>
      <w:r>
        <w:rPr>
          <w:b/>
          <w:color w:val="0F172A"/>
          <w:sz w:val="40"/>
        </w:rPr>
        <w:t>THE STRATEGIC LOGIC OF MERCERFLOW</w:t>
      </w:r>
    </w:p>
    <w:p w14:paraId="01D8AF0E" w14:textId="77777777" w:rsidR="00CF3607" w:rsidRDefault="005F130B">
      <w:pPr>
        <w:spacing w:after="160"/>
      </w:pPr>
      <w:r>
        <w:rPr>
          <w:b/>
          <w:color w:val="0284C7"/>
          <w:sz w:val="23"/>
        </w:rPr>
        <w:t>Brand Architecture &amp; Modular Product Ecosystem Blueprint</w:t>
      </w:r>
    </w:p>
    <w:p w14:paraId="70C057FE" w14:textId="77777777" w:rsidR="00CF3607" w:rsidRDefault="005F130B">
      <w:pPr>
        <w:spacing w:after="480"/>
      </w:pPr>
      <w:r>
        <w:rPr>
          <w:color w:val="64748B"/>
          <w:sz w:val="17"/>
        </w:rPr>
        <w:t>Document Type: Strategic Brand Specification  |  Target Audience: Stakeholders, Product &amp; Engineering Teams  |  Status: Approved Identity Standard</w:t>
      </w:r>
    </w:p>
    <w:p w14:paraId="1DFC960D" w14:textId="77777777" w:rsidR="00CF3607" w:rsidRDefault="005F130B">
      <w:pPr>
        <w:keepNext/>
        <w:spacing w:before="320" w:after="120"/>
      </w:pPr>
      <w:r>
        <w:rPr>
          <w:b/>
          <w:color w:val="0F172A"/>
          <w:sz w:val="26"/>
        </w:rPr>
        <w:t>1. Executive Summary &amp; The Core Thesis</w:t>
      </w:r>
    </w:p>
    <w:p w14:paraId="7E1534FB" w14:textId="77777777" w:rsidR="00CF3607" w:rsidRDefault="005F130B">
      <w:r>
        <w:t>An enterprise-grade application demands a visual and verbal identity that establishes immediate credibility, implies long-term stability, and communicates specialized sophistication. At its primary surface, the name MercerFlow achieves this by projecting mercantile authority, fiscal precision, and uncompromised software workflow execution. It positions the suite perfectly as a high-end financial and supply chain management engine.</w:t>
      </w:r>
    </w:p>
    <w:p w14:paraId="0E9E6D3C" w14:textId="77777777" w:rsidR="00CF3607" w:rsidRDefault="005F130B">
      <w:r>
        <w:t>However, for those operating within commercial laundry, hospitality textiles, and industrial processing, the identity carries a deep, hidden significance. It draws directly from Mercerization—the foundational finishing treatment discovered by John Mercer that permanently restructures raw cotton and linen fibers under structural tension. This precise, highly managed transformation straightens erratic cell structures, dramatically boosting tensile strength and maximizing the fabric’s chemical affinity to deep</w:t>
      </w:r>
      <w:r>
        <w:t>ly absorb dyes.</w:t>
      </w:r>
    </w:p>
    <w:p w14:paraId="6ED14793" w14:textId="77777777" w:rsidR="00CF3607" w:rsidRDefault="005F130B">
      <w:r>
        <w:t>This operational masterpiece serves as the perfect corporate metaphor for the platform. MercerFlow does not merely log data; it acts upon it. The application takes raw, unmanaged, and often chaotic supply chain metrics, item catalogs, and vendor invoices and shapes them into beautifully governed, optimized, high-value enterprise structures.</w:t>
      </w:r>
    </w:p>
    <w:p w14:paraId="6DB3B5C1" w14:textId="77777777" w:rsidR="00CF3607" w:rsidRDefault="005F130B">
      <w:pPr>
        <w:keepNext/>
        <w:spacing w:before="320" w:after="120"/>
      </w:pPr>
      <w:r>
        <w:rPr>
          <w:b/>
          <w:color w:val="0F172A"/>
          <w:sz w:val="26"/>
        </w:rPr>
        <w:t>2. The Strategic Parallel</w:t>
      </w:r>
    </w:p>
    <w:p w14:paraId="2250A7EC" w14:textId="77777777" w:rsidR="00CF3607" w:rsidRDefault="005F130B">
      <w:r>
        <w:t>The alignment between the mechanical textile process and the functional output of the software platform provides a powerful, repeatable narrative framework when communicating the application's unique value proposition:</w:t>
      </w:r>
    </w:p>
    <w:tbl>
      <w:tblPr>
        <w:tblStyle w:val="LightShading-Accent1"/>
        <w:tblW w:w="0" w:type="auto"/>
        <w:tblLook w:val="04A0" w:firstRow="1" w:lastRow="0" w:firstColumn="1" w:lastColumn="0" w:noHBand="0" w:noVBand="1"/>
      </w:tblPr>
      <w:tblGrid>
        <w:gridCol w:w="4968"/>
        <w:gridCol w:w="4968"/>
      </w:tblGrid>
      <w:tr w:rsidR="00CF3607" w14:paraId="2FBAC17A" w14:textId="77777777" w:rsidTr="00CF3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F1F5F9"/>
          </w:tcPr>
          <w:p w14:paraId="0B46D77D" w14:textId="77777777" w:rsidR="00CF3607" w:rsidRDefault="005F130B">
            <w:r>
              <w:rPr>
                <w:color w:val="0F172A"/>
              </w:rPr>
              <w:t>The Physical Mercerization Process</w:t>
            </w:r>
          </w:p>
        </w:tc>
        <w:tc>
          <w:tcPr>
            <w:tcW w:w="4968" w:type="dxa"/>
            <w:shd w:val="clear" w:color="auto" w:fill="F1F5F9"/>
          </w:tcPr>
          <w:p w14:paraId="37C58637" w14:textId="77777777" w:rsidR="00CF3607" w:rsidRDefault="005F130B">
            <w:pPr>
              <w:cnfStyle w:val="100000000000" w:firstRow="1" w:lastRow="0" w:firstColumn="0" w:lastColumn="0" w:oddVBand="0" w:evenVBand="0" w:oddHBand="0" w:evenHBand="0" w:firstRowFirstColumn="0" w:firstRowLastColumn="0" w:lastRowFirstColumn="0" w:lastRowLastColumn="0"/>
            </w:pPr>
            <w:r>
              <w:rPr>
                <w:color w:val="0F172A"/>
              </w:rPr>
              <w:t>The MercerFlow Digital Counterpart</w:t>
            </w:r>
          </w:p>
        </w:tc>
      </w:tr>
      <w:tr w:rsidR="00CF3607" w14:paraId="542AFCF1" w14:textId="77777777" w:rsidTr="00CF3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A9D2277" w14:textId="77777777" w:rsidR="00CF3607" w:rsidRDefault="005F130B">
            <w:r>
              <w:t>Structural Fiber Reconstruction</w:t>
            </w:r>
          </w:p>
        </w:tc>
        <w:tc>
          <w:tcPr>
            <w:tcW w:w="4968" w:type="dxa"/>
          </w:tcPr>
          <w:p w14:paraId="693FEB19" w14:textId="77777777" w:rsidR="00CF3607" w:rsidRDefault="005F130B">
            <w:pPr>
              <w:cnfStyle w:val="000000100000" w:firstRow="0" w:lastRow="0" w:firstColumn="0" w:lastColumn="0" w:oddVBand="0" w:evenVBand="0" w:oddHBand="1" w:evenHBand="0" w:firstRowFirstColumn="0" w:firstRowLastColumn="0" w:lastRowFirstColumn="0" w:lastRowLastColumn="0"/>
            </w:pPr>
            <w:r>
              <w:t>Catalog &amp; Master Item Governance: Ingests flat, erratic, non-standard vendor line-items and converts them into pristine, cross-referenced system entries with explicit governance rules.</w:t>
            </w:r>
          </w:p>
        </w:tc>
      </w:tr>
      <w:tr w:rsidR="00CF3607" w14:paraId="513170CB" w14:textId="77777777" w:rsidTr="00CF3607">
        <w:tc>
          <w:tcPr>
            <w:cnfStyle w:val="001000000000" w:firstRow="0" w:lastRow="0" w:firstColumn="1" w:lastColumn="0" w:oddVBand="0" w:evenVBand="0" w:oddHBand="0" w:evenHBand="0" w:firstRowFirstColumn="0" w:firstRowLastColumn="0" w:lastRowFirstColumn="0" w:lastRowLastColumn="0"/>
            <w:tcW w:w="4968" w:type="dxa"/>
          </w:tcPr>
          <w:p w14:paraId="103681BF" w14:textId="77777777" w:rsidR="00CF3607" w:rsidRDefault="005F130B">
            <w:r>
              <w:t>Tensile Reinforcement</w:t>
            </w:r>
          </w:p>
        </w:tc>
        <w:tc>
          <w:tcPr>
            <w:tcW w:w="4968" w:type="dxa"/>
          </w:tcPr>
          <w:p w14:paraId="161C27D9" w14:textId="77777777" w:rsidR="00CF3607" w:rsidRDefault="005F130B">
            <w:pPr>
              <w:cnfStyle w:val="000000000000" w:firstRow="0" w:lastRow="0" w:firstColumn="0" w:lastColumn="0" w:oddVBand="0" w:evenVBand="0" w:oddHBand="0" w:evenHBand="0" w:firstRowFirstColumn="0" w:firstRowLastColumn="0" w:lastRowFirstColumn="0" w:lastRowLastColumn="0"/>
            </w:pPr>
            <w:r>
              <w:t>Modular Architecture Stability: Replaces fragile, manual steps with robust system controls (Procure, Price, Catalog), ensuring operational stability under intense processing volume.</w:t>
            </w:r>
          </w:p>
        </w:tc>
      </w:tr>
      <w:tr w:rsidR="00CF3607" w14:paraId="617F48B7" w14:textId="77777777" w:rsidTr="00CF3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0C10817" w14:textId="77777777" w:rsidR="00CF3607" w:rsidRDefault="005F130B">
            <w:r>
              <w:t>Elevated Dye Affinity</w:t>
            </w:r>
          </w:p>
        </w:tc>
        <w:tc>
          <w:tcPr>
            <w:tcW w:w="4968" w:type="dxa"/>
          </w:tcPr>
          <w:p w14:paraId="38604D39" w14:textId="77777777" w:rsidR="00CF3607" w:rsidRDefault="005F130B">
            <w:pPr>
              <w:cnfStyle w:val="000000100000" w:firstRow="0" w:lastRow="0" w:firstColumn="0" w:lastColumn="0" w:oddVBand="0" w:evenVBand="0" w:oddHBand="1" w:evenHBand="0" w:firstRowFirstColumn="0" w:firstRowLastColumn="0" w:lastRowFirstColumn="0" w:lastRowLastColumn="0"/>
            </w:pPr>
            <w:r>
              <w:t>External System Integration: Prepares the host infrastructure to be perfectly receptive to telemetry, multi-tenant database synchronization, and external system handshakes without transactional loss.</w:t>
            </w:r>
          </w:p>
        </w:tc>
      </w:tr>
      <w:tr w:rsidR="00CF3607" w14:paraId="5444570A" w14:textId="77777777" w:rsidTr="00CF3607">
        <w:tc>
          <w:tcPr>
            <w:cnfStyle w:val="001000000000" w:firstRow="0" w:lastRow="0" w:firstColumn="1" w:lastColumn="0" w:oddVBand="0" w:evenVBand="0" w:oddHBand="0" w:evenHBand="0" w:firstRowFirstColumn="0" w:firstRowLastColumn="0" w:lastRowFirstColumn="0" w:lastRowLastColumn="0"/>
            <w:tcW w:w="4968" w:type="dxa"/>
          </w:tcPr>
          <w:p w14:paraId="6B15797B" w14:textId="77777777" w:rsidR="00CF3607" w:rsidRDefault="005F130B">
            <w:r>
              <w:t>Permanent Lustrous Finish</w:t>
            </w:r>
          </w:p>
        </w:tc>
        <w:tc>
          <w:tcPr>
            <w:tcW w:w="4968" w:type="dxa"/>
          </w:tcPr>
          <w:p w14:paraId="31E25E31" w14:textId="77777777" w:rsidR="00CF3607" w:rsidRDefault="005F130B">
            <w:pPr>
              <w:cnfStyle w:val="000000000000" w:firstRow="0" w:lastRow="0" w:firstColumn="0" w:lastColumn="0" w:oddVBand="0" w:evenVBand="0" w:oddHBand="0" w:evenHBand="0" w:firstRowFirstColumn="0" w:firstRowLastColumn="0" w:lastRowFirstColumn="0" w:lastRowLastColumn="0"/>
            </w:pPr>
            <w:r>
              <w:t>Margin Recovery &amp; Automatic Invoicing: Squeezes structural voids, hidden cost inflation, and margin leakage out of the buying cycle, revealing clean financial health and optimized profit capture.</w:t>
            </w:r>
          </w:p>
        </w:tc>
      </w:tr>
    </w:tbl>
    <w:p w14:paraId="5CCC0148" w14:textId="77777777" w:rsidR="00CF3607" w:rsidRDefault="005F130B">
      <w:pPr>
        <w:keepNext/>
        <w:spacing w:before="320" w:after="120"/>
      </w:pPr>
      <w:r>
        <w:rPr>
          <w:b/>
          <w:color w:val="0F172A"/>
          <w:sz w:val="26"/>
        </w:rPr>
        <w:lastRenderedPageBreak/>
        <w:t>3. The Visual Design System</w:t>
      </w:r>
    </w:p>
    <w:p w14:paraId="195A2184" w14:textId="77777777" w:rsidR="00CF3607" w:rsidRDefault="005F130B">
      <w:r>
        <w:t>The visual identity standard is engineered to balance high-end corporate reliability with modern software design language. Rather than relying on fragile aesthetic trends, it is built upon permanent geometric fundamentals:</w:t>
      </w:r>
    </w:p>
    <w:p w14:paraId="31C4902F" w14:textId="77777777" w:rsidR="00CF3607" w:rsidRDefault="005F130B">
      <w:pPr>
        <w:keepNext/>
        <w:spacing w:before="320" w:after="120"/>
      </w:pPr>
      <w:r>
        <w:rPr>
          <w:b/>
          <w:color w:val="334155"/>
          <w:sz w:val="22"/>
        </w:rPr>
        <w:t>3.1 The Symmetrical "M" Ribbon Mark</w:t>
      </w:r>
    </w:p>
    <w:p w14:paraId="5CDC1CA3" w14:textId="77777777" w:rsidR="00CF3607" w:rsidRDefault="005F130B">
      <w:r>
        <w:t>The core of the visual system is a stylized, isometric capital letter M constructed via an engineered, folded-ribbon aesthetic. Featuring subtle internal gradient variations, the ribbon paths represent a continuous, unbroken high-strength yarn or thread moving through automated machinery with mechanical precision. Its perfect horizontal and vertical symmetry stands as an institutional anchor of system security and functional balance.</w:t>
      </w:r>
    </w:p>
    <w:p w14:paraId="03437096" w14:textId="77777777" w:rsidR="00CF3607" w:rsidRDefault="005F130B">
      <w:pPr>
        <w:keepNext/>
        <w:spacing w:before="320" w:after="120"/>
      </w:pPr>
      <w:r>
        <w:rPr>
          <w:b/>
          <w:color w:val="334155"/>
          <w:sz w:val="22"/>
        </w:rPr>
        <w:t>3.2 The Precision Tessera Accent</w:t>
      </w:r>
    </w:p>
    <w:p w14:paraId="4D42D606" w14:textId="77777777" w:rsidR="00CF3607" w:rsidRDefault="005F130B">
      <w:r>
        <w:t>Positioned as an isolated geometric fragment at the upper right of the typography, the slanted rhombus/parallelogram acts as a critical visual counterweight. This dynamic component signifies a single, perfectly refined Tessera—representing an individual governed transaction or dedicated functional module that has been brought into ideal compliance by the core engine. It floats purposefully above the suffix "Flow," directing eye-movement smoothly through the brand text.</w:t>
      </w:r>
    </w:p>
    <w:p w14:paraId="1819927B" w14:textId="77777777" w:rsidR="00CF3607" w:rsidRDefault="005F130B">
      <w:pPr>
        <w:keepNext/>
        <w:spacing w:before="320" w:after="120"/>
      </w:pPr>
      <w:r>
        <w:rPr>
          <w:b/>
          <w:color w:val="334155"/>
          <w:sz w:val="22"/>
        </w:rPr>
        <w:t>3.3 Progressive Typographic Hierarchy</w:t>
      </w:r>
    </w:p>
    <w:p w14:paraId="28152B30" w14:textId="77777777" w:rsidR="00CF3607" w:rsidRDefault="005F130B">
      <w:r>
        <w:t>The typography utilizes a clean, premium, geometric sans-serif font family optimized for reading clarity on digital dashboards and printed executive briefs. The functional prefix of the platform layer ("Mercer", "Procure", "Price", "Catalog") is consistently rendered in a lightweight, sophisticated off-white or charcoal grey, while the suffix "Flow" is treated with a bold font-weight and saturated with that specific module's identifier color. This maintains global suite alignment while giving individual pro</w:t>
      </w:r>
      <w:r>
        <w:t>ducts immediate operational context.</w:t>
      </w:r>
    </w:p>
    <w:p w14:paraId="4F26943F" w14:textId="77777777" w:rsidR="00CF3607" w:rsidRDefault="005F130B">
      <w:pPr>
        <w:keepNext/>
        <w:spacing w:before="320" w:after="120"/>
      </w:pPr>
      <w:r>
        <w:rPr>
          <w:b/>
          <w:color w:val="0F172A"/>
          <w:sz w:val="26"/>
        </w:rPr>
        <w:t>4. The Modular Ecosystem: Color Codification Logic</w:t>
      </w:r>
    </w:p>
    <w:p w14:paraId="16121D7D" w14:textId="77777777" w:rsidR="00CF3607" w:rsidRDefault="005F130B">
      <w:r>
        <w:t>To ensure individual applications within the suite can operate effectively as standalone commercial products while instantly declaring their alignment to the primary parent system, the visual architecture implements a distinct, multi-layered Color Codification Logic. Each color profile matches the direct psychological and operational output of its dedicated domain:</w:t>
      </w:r>
    </w:p>
    <w:tbl>
      <w:tblPr>
        <w:tblStyle w:val="LightShading-Accent1"/>
        <w:tblW w:w="0" w:type="auto"/>
        <w:tblLook w:val="04A0" w:firstRow="1" w:lastRow="0" w:firstColumn="1" w:lastColumn="0" w:noHBand="0" w:noVBand="1"/>
      </w:tblPr>
      <w:tblGrid>
        <w:gridCol w:w="3312"/>
        <w:gridCol w:w="3312"/>
        <w:gridCol w:w="3312"/>
      </w:tblGrid>
      <w:tr w:rsidR="00CF3607" w14:paraId="2704E651" w14:textId="77777777" w:rsidTr="00CF3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F1F5F9"/>
          </w:tcPr>
          <w:p w14:paraId="50020DC4" w14:textId="77777777" w:rsidR="00CF3607" w:rsidRDefault="005F130B">
            <w:r>
              <w:rPr>
                <w:color w:val="0F172A"/>
              </w:rPr>
              <w:t>Product Identity</w:t>
            </w:r>
          </w:p>
        </w:tc>
        <w:tc>
          <w:tcPr>
            <w:tcW w:w="3312" w:type="dxa"/>
            <w:shd w:val="clear" w:color="auto" w:fill="F1F5F9"/>
          </w:tcPr>
          <w:p w14:paraId="79D6EB5F" w14:textId="77777777" w:rsidR="00CF3607" w:rsidRDefault="005F130B">
            <w:pPr>
              <w:cnfStyle w:val="100000000000" w:firstRow="1" w:lastRow="0" w:firstColumn="0" w:lastColumn="0" w:oddVBand="0" w:evenVBand="0" w:oddHBand="0" w:evenHBand="0" w:firstRowFirstColumn="0" w:firstRowLastColumn="0" w:lastRowFirstColumn="0" w:lastRowLastColumn="0"/>
            </w:pPr>
            <w:r>
              <w:rPr>
                <w:color w:val="0F172A"/>
              </w:rPr>
              <w:t>Color Standard</w:t>
            </w:r>
          </w:p>
        </w:tc>
        <w:tc>
          <w:tcPr>
            <w:tcW w:w="3312" w:type="dxa"/>
            <w:shd w:val="clear" w:color="auto" w:fill="F1F5F9"/>
          </w:tcPr>
          <w:p w14:paraId="45108D2E" w14:textId="77777777" w:rsidR="00CF3607" w:rsidRDefault="005F130B">
            <w:pPr>
              <w:cnfStyle w:val="100000000000" w:firstRow="1" w:lastRow="0" w:firstColumn="0" w:lastColumn="0" w:oddVBand="0" w:evenVBand="0" w:oddHBand="0" w:evenHBand="0" w:firstRowFirstColumn="0" w:firstRowLastColumn="0" w:lastRowFirstColumn="0" w:lastRowLastColumn="0"/>
            </w:pPr>
            <w:r>
              <w:rPr>
                <w:color w:val="0F172A"/>
              </w:rPr>
              <w:t>Operational Domain &amp; Psychological Rationale</w:t>
            </w:r>
          </w:p>
        </w:tc>
      </w:tr>
      <w:tr w:rsidR="00CF3607" w14:paraId="769ABBEF" w14:textId="77777777" w:rsidTr="00CF3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2048BA5" w14:textId="77777777" w:rsidR="00CF3607" w:rsidRDefault="005F130B">
            <w:r>
              <w:t>MercerFlow</w:t>
            </w:r>
          </w:p>
        </w:tc>
        <w:tc>
          <w:tcPr>
            <w:tcW w:w="3312" w:type="dxa"/>
          </w:tcPr>
          <w:p w14:paraId="036DE0BB" w14:textId="77777777" w:rsidR="00CF3607" w:rsidRDefault="005F130B">
            <w:pPr>
              <w:cnfStyle w:val="000000100000" w:firstRow="0" w:lastRow="0" w:firstColumn="0" w:lastColumn="0" w:oddVBand="0" w:evenVBand="0" w:oddHBand="1" w:evenHBand="0" w:firstRowFirstColumn="0" w:firstRowLastColumn="0" w:lastRowFirstColumn="0" w:lastRowLastColumn="0"/>
            </w:pPr>
            <w:r>
              <w:rPr>
                <w:b/>
              </w:rPr>
              <w:t>Electric Sky Blue</w:t>
            </w:r>
          </w:p>
        </w:tc>
        <w:tc>
          <w:tcPr>
            <w:tcW w:w="3312" w:type="dxa"/>
          </w:tcPr>
          <w:p w14:paraId="29532AB9" w14:textId="77777777" w:rsidR="00CF3607" w:rsidRDefault="005F130B">
            <w:pPr>
              <w:cnfStyle w:val="000000100000" w:firstRow="0" w:lastRow="0" w:firstColumn="0" w:lastColumn="0" w:oddVBand="0" w:evenVBand="0" w:oddHBand="1" w:evenHBand="0" w:firstRowFirstColumn="0" w:firstRowLastColumn="0" w:lastRowFirstColumn="0" w:lastRowLastColumn="0"/>
            </w:pPr>
            <w:r>
              <w:t>The Parent Architecture: Symbolizes macro intelligence, deep security, platform transparency, and overarching corporate governance. It governs the entire infrastructure.</w:t>
            </w:r>
          </w:p>
        </w:tc>
      </w:tr>
      <w:tr w:rsidR="00CF3607" w14:paraId="0232E0EF" w14:textId="77777777" w:rsidTr="00CF3607">
        <w:tc>
          <w:tcPr>
            <w:cnfStyle w:val="001000000000" w:firstRow="0" w:lastRow="0" w:firstColumn="1" w:lastColumn="0" w:oddVBand="0" w:evenVBand="0" w:oddHBand="0" w:evenHBand="0" w:firstRowFirstColumn="0" w:firstRowLastColumn="0" w:lastRowFirstColumn="0" w:lastRowLastColumn="0"/>
            <w:tcW w:w="3312" w:type="dxa"/>
          </w:tcPr>
          <w:p w14:paraId="2928AE62" w14:textId="77777777" w:rsidR="00CF3607" w:rsidRDefault="005F130B">
            <w:r>
              <w:t>ProcureFlow</w:t>
            </w:r>
          </w:p>
        </w:tc>
        <w:tc>
          <w:tcPr>
            <w:tcW w:w="3312" w:type="dxa"/>
          </w:tcPr>
          <w:p w14:paraId="18B6ACB6" w14:textId="77777777" w:rsidR="00CF3607" w:rsidRDefault="005F130B">
            <w:pPr>
              <w:cnfStyle w:val="000000000000" w:firstRow="0" w:lastRow="0" w:firstColumn="0" w:lastColumn="0" w:oddVBand="0" w:evenVBand="0" w:oddHBand="0" w:evenHBand="0" w:firstRowFirstColumn="0" w:firstRowLastColumn="0" w:lastRowFirstColumn="0" w:lastRowLastColumn="0"/>
            </w:pPr>
            <w:r>
              <w:rPr>
                <w:b/>
              </w:rPr>
              <w:t>Vibrant Orange</w:t>
            </w:r>
          </w:p>
        </w:tc>
        <w:tc>
          <w:tcPr>
            <w:tcW w:w="3312" w:type="dxa"/>
          </w:tcPr>
          <w:p w14:paraId="330C840E" w14:textId="77777777" w:rsidR="00CF3607" w:rsidRDefault="005F130B">
            <w:pPr>
              <w:cnfStyle w:val="000000000000" w:firstRow="0" w:lastRow="0" w:firstColumn="0" w:lastColumn="0" w:oddVBand="0" w:evenVBand="0" w:oddHBand="0" w:evenHBand="0" w:firstRowFirstColumn="0" w:firstRowLastColumn="0" w:lastRowFirstColumn="0" w:lastRowLastColumn="0"/>
            </w:pPr>
            <w:r>
              <w:t>Active Sourcing Operations: Represents operational energy, movement, tactical vendor negotiations, and aggressive, real-time logistics management.</w:t>
            </w:r>
          </w:p>
        </w:tc>
      </w:tr>
      <w:tr w:rsidR="00CF3607" w14:paraId="641B5BF6" w14:textId="77777777" w:rsidTr="00CF3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4EBEE1D" w14:textId="77777777" w:rsidR="00CF3607" w:rsidRDefault="005F130B">
            <w:r>
              <w:t>PriceFlow</w:t>
            </w:r>
          </w:p>
        </w:tc>
        <w:tc>
          <w:tcPr>
            <w:tcW w:w="3312" w:type="dxa"/>
          </w:tcPr>
          <w:p w14:paraId="1A1ABEB5" w14:textId="77777777" w:rsidR="00CF3607" w:rsidRDefault="005F130B">
            <w:pPr>
              <w:cnfStyle w:val="000000100000" w:firstRow="0" w:lastRow="0" w:firstColumn="0" w:lastColumn="0" w:oddVBand="0" w:evenVBand="0" w:oddHBand="1" w:evenHBand="0" w:firstRowFirstColumn="0" w:firstRowLastColumn="0" w:lastRowFirstColumn="0" w:lastRowLastColumn="0"/>
            </w:pPr>
            <w:r>
              <w:rPr>
                <w:b/>
              </w:rPr>
              <w:t>Emerald Green</w:t>
            </w:r>
          </w:p>
        </w:tc>
        <w:tc>
          <w:tcPr>
            <w:tcW w:w="3312" w:type="dxa"/>
          </w:tcPr>
          <w:p w14:paraId="0F12ED04" w14:textId="77777777" w:rsidR="00CF3607" w:rsidRDefault="005F130B">
            <w:pPr>
              <w:cnfStyle w:val="000000100000" w:firstRow="0" w:lastRow="0" w:firstColumn="0" w:lastColumn="0" w:oddVBand="0" w:evenVBand="0" w:oddHBand="1" w:evenHBand="0" w:firstRowFirstColumn="0" w:firstRowLastColumn="0" w:lastRowFirstColumn="0" w:lastRowLastColumn="0"/>
            </w:pPr>
            <w:r>
              <w:t xml:space="preserve">Financial Yield Recovery: </w:t>
            </w:r>
            <w:r>
              <w:lastRenderedPageBreak/>
              <w:t>Represents direct capital preservation, margin protection, wealth capture, and green-light automated invoice reconciliation.</w:t>
            </w:r>
          </w:p>
        </w:tc>
      </w:tr>
      <w:tr w:rsidR="00CF3607" w14:paraId="73E563EC" w14:textId="77777777" w:rsidTr="00CF3607">
        <w:tc>
          <w:tcPr>
            <w:cnfStyle w:val="001000000000" w:firstRow="0" w:lastRow="0" w:firstColumn="1" w:lastColumn="0" w:oddVBand="0" w:evenVBand="0" w:oddHBand="0" w:evenHBand="0" w:firstRowFirstColumn="0" w:firstRowLastColumn="0" w:lastRowFirstColumn="0" w:lastRowLastColumn="0"/>
            <w:tcW w:w="3312" w:type="dxa"/>
          </w:tcPr>
          <w:p w14:paraId="08A3DE56" w14:textId="77777777" w:rsidR="00CF3607" w:rsidRDefault="005F130B">
            <w:r>
              <w:lastRenderedPageBreak/>
              <w:t>CatalogFlow</w:t>
            </w:r>
          </w:p>
        </w:tc>
        <w:tc>
          <w:tcPr>
            <w:tcW w:w="3312" w:type="dxa"/>
          </w:tcPr>
          <w:p w14:paraId="11954749" w14:textId="77777777" w:rsidR="00CF3607" w:rsidRDefault="005F130B">
            <w:pPr>
              <w:cnfStyle w:val="000000000000" w:firstRow="0" w:lastRow="0" w:firstColumn="0" w:lastColumn="0" w:oddVBand="0" w:evenVBand="0" w:oddHBand="0" w:evenHBand="0" w:firstRowFirstColumn="0" w:firstRowLastColumn="0" w:lastRowFirstColumn="0" w:lastRowLastColumn="0"/>
            </w:pPr>
            <w:r>
              <w:rPr>
                <w:b/>
              </w:rPr>
              <w:t>Amethyst Purple</w:t>
            </w:r>
          </w:p>
        </w:tc>
        <w:tc>
          <w:tcPr>
            <w:tcW w:w="3312" w:type="dxa"/>
          </w:tcPr>
          <w:p w14:paraId="26DC7E48" w14:textId="77777777" w:rsidR="00CF3607" w:rsidRDefault="005F130B">
            <w:pPr>
              <w:cnfStyle w:val="000000000000" w:firstRow="0" w:lastRow="0" w:firstColumn="0" w:lastColumn="0" w:oddVBand="0" w:evenVBand="0" w:oddHBand="0" w:evenHBand="0" w:firstRowFirstColumn="0" w:firstRowLastColumn="0" w:lastRowFirstColumn="0" w:lastRowLastColumn="0"/>
            </w:pPr>
            <w:r>
              <w:t>Structured Taxonomy: Represents structural precision, data taxonomy, clean item sorting, asset valuation, and high-order product categorization.</w:t>
            </w:r>
          </w:p>
        </w:tc>
      </w:tr>
    </w:tbl>
    <w:p w14:paraId="25B8010A" w14:textId="77777777" w:rsidR="00D93DE4" w:rsidRDefault="00D93DE4">
      <w:pPr>
        <w:rPr>
          <w:b/>
          <w:color w:val="0F172A"/>
          <w:sz w:val="26"/>
        </w:rPr>
      </w:pPr>
    </w:p>
    <w:p w14:paraId="0907B5E3" w14:textId="3F652137" w:rsidR="00CF3607" w:rsidRDefault="005F130B">
      <w:r>
        <w:rPr>
          <w:i/>
          <w:color w:val="64748B"/>
          <w:sz w:val="17"/>
        </w:rPr>
        <w:t>This document represents the official design standard and corporate rationale for MercerFlow and its associated applications. All rights reserved.</w:t>
      </w:r>
    </w:p>
    <w:sectPr w:rsidR="00CF3607"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2184116">
    <w:abstractNumId w:val="8"/>
  </w:num>
  <w:num w:numId="2" w16cid:durableId="1676181201">
    <w:abstractNumId w:val="6"/>
  </w:num>
  <w:num w:numId="3" w16cid:durableId="444232482">
    <w:abstractNumId w:val="5"/>
  </w:num>
  <w:num w:numId="4" w16cid:durableId="1897275423">
    <w:abstractNumId w:val="4"/>
  </w:num>
  <w:num w:numId="5" w16cid:durableId="1158233338">
    <w:abstractNumId w:val="7"/>
  </w:num>
  <w:num w:numId="6" w16cid:durableId="1676960296">
    <w:abstractNumId w:val="3"/>
  </w:num>
  <w:num w:numId="7" w16cid:durableId="2111730185">
    <w:abstractNumId w:val="2"/>
  </w:num>
  <w:num w:numId="8" w16cid:durableId="1085885533">
    <w:abstractNumId w:val="1"/>
  </w:num>
  <w:num w:numId="9" w16cid:durableId="832448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130B"/>
    <w:rsid w:val="00691452"/>
    <w:rsid w:val="00AA1D8D"/>
    <w:rsid w:val="00B47730"/>
    <w:rsid w:val="00CB0664"/>
    <w:rsid w:val="00CF3607"/>
    <w:rsid w:val="00D93D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58F7A12-6097-4C12-8114-F12FB7248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889</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Aaron Bell</cp:lastModifiedBy>
  <cp:revision>2</cp:revision>
  <dcterms:created xsi:type="dcterms:W3CDTF">2013-12-23T23:15:00Z</dcterms:created>
  <dcterms:modified xsi:type="dcterms:W3CDTF">2026-05-19T01:04:00Z</dcterms:modified>
  <cp:category/>
</cp:coreProperties>
</file>