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1268" w:tblpY="1518"/>
        <w:tblOverlap w:val="never"/>
        <w:tblW w:w="10128" w:type="dxa"/>
        <w:tblInd w:w="0" w:type="dxa"/>
        <w:tblLayout w:type="fixed"/>
        <w:tblCellMar>
          <w:top w:w="0" w:type="dxa"/>
          <w:left w:w="108" w:type="dxa"/>
          <w:bottom w:w="0" w:type="dxa"/>
          <w:right w:w="108" w:type="dxa"/>
        </w:tblCellMar>
      </w:tblPr>
      <w:tblGrid>
        <w:gridCol w:w="675"/>
        <w:gridCol w:w="1269"/>
        <w:gridCol w:w="999"/>
        <w:gridCol w:w="2349"/>
        <w:gridCol w:w="1548"/>
        <w:gridCol w:w="3288"/>
      </w:tblGrid>
      <w:tr w14:paraId="5FB54930">
        <w:tblPrEx>
          <w:tblCellMar>
            <w:top w:w="0" w:type="dxa"/>
            <w:left w:w="108" w:type="dxa"/>
            <w:bottom w:w="0" w:type="dxa"/>
            <w:right w:w="108" w:type="dxa"/>
          </w:tblCellMar>
        </w:tblPrEx>
        <w:trPr>
          <w:trHeight w:val="564" w:hRule="atLeast"/>
        </w:trPr>
        <w:tc>
          <w:tcPr>
            <w:tcW w:w="10128" w:type="dxa"/>
            <w:gridSpan w:val="6"/>
            <w:tcBorders>
              <w:top w:val="nil"/>
              <w:left w:val="nil"/>
              <w:bottom w:val="single" w:color="000000" w:sz="4" w:space="0"/>
              <w:right w:val="nil"/>
            </w:tcBorders>
            <w:shd w:val="clear" w:color="auto" w:fill="auto"/>
            <w:noWrap/>
            <w:vAlign w:val="center"/>
          </w:tcPr>
          <w:p w14:paraId="6DF5BB74">
            <w:pPr>
              <w:jc w:val="center"/>
              <w:textAlignment w:val="center"/>
              <w:rPr>
                <w:rFonts w:ascii="宋体" w:hAnsi="宋体" w:eastAsia="宋体" w:cs="宋体"/>
                <w:b/>
                <w:bCs/>
                <w:color w:val="000000"/>
                <w:sz w:val="44"/>
                <w:szCs w:val="44"/>
              </w:rPr>
            </w:pPr>
            <w:r>
              <w:rPr>
                <w:rFonts w:hint="eastAsia" w:ascii="宋体" w:hAnsi="宋体" w:eastAsia="宋体" w:cs="宋体"/>
                <w:b/>
                <w:bCs/>
                <w:color w:val="000000"/>
                <w:sz w:val="44"/>
                <w:szCs w:val="44"/>
                <w:lang w:bidi="ar"/>
              </w:rPr>
              <w:t>工作周报</w:t>
            </w:r>
          </w:p>
        </w:tc>
      </w:tr>
      <w:tr w14:paraId="641A28B4">
        <w:tblPrEx>
          <w:tblCellMar>
            <w:top w:w="0" w:type="dxa"/>
            <w:left w:w="108" w:type="dxa"/>
            <w:bottom w:w="0" w:type="dxa"/>
            <w:right w:w="108" w:type="dxa"/>
          </w:tblCellMar>
        </w:tblPrEx>
        <w:trPr>
          <w:trHeight w:val="614" w:hRule="atLeast"/>
        </w:trPr>
        <w:tc>
          <w:tcPr>
            <w:tcW w:w="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2348C">
            <w:pPr>
              <w:jc w:val="center"/>
              <w:textAlignment w:val="center"/>
              <w:rPr>
                <w:rFonts w:ascii="宋体" w:hAnsi="宋体" w:eastAsia="宋体" w:cs="宋体"/>
                <w:color w:val="000000"/>
              </w:rPr>
            </w:pPr>
            <w:r>
              <w:rPr>
                <w:rFonts w:hint="eastAsia" w:ascii="宋体" w:hAnsi="宋体" w:eastAsia="宋体" w:cs="宋体"/>
                <w:color w:val="000000"/>
                <w:lang w:bidi="ar"/>
              </w:rPr>
              <w:t>姓名</w:t>
            </w:r>
          </w:p>
        </w:tc>
        <w:tc>
          <w:tcPr>
            <w:tcW w:w="12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D06F2">
            <w:pPr>
              <w:jc w:val="center"/>
              <w:rPr>
                <w:rFonts w:hint="eastAsia" w:ascii="宋体" w:hAnsi="宋体" w:eastAsia="宋体" w:cs="宋体"/>
                <w:color w:val="000000"/>
                <w:lang w:eastAsia="zh-CN"/>
              </w:rPr>
            </w:pPr>
            <w:r>
              <w:rPr>
                <w:rFonts w:hint="eastAsia" w:ascii="宋体" w:hAnsi="宋体" w:eastAsia="宋体" w:cs="宋体"/>
                <w:color w:val="000000"/>
                <w:lang w:val="en-US" w:eastAsia="zh-CN"/>
              </w:rPr>
              <w:t>杨策华</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15FEE">
            <w:pPr>
              <w:jc w:val="center"/>
              <w:textAlignment w:val="center"/>
              <w:rPr>
                <w:rFonts w:ascii="宋体" w:hAnsi="宋体" w:eastAsia="宋体" w:cs="宋体"/>
                <w:color w:val="000000"/>
              </w:rPr>
            </w:pPr>
            <w:r>
              <w:rPr>
                <w:rFonts w:hint="eastAsia" w:ascii="宋体" w:hAnsi="宋体" w:eastAsia="宋体" w:cs="宋体"/>
                <w:color w:val="000000"/>
                <w:lang w:bidi="ar"/>
              </w:rPr>
              <w:t>时间</w:t>
            </w:r>
          </w:p>
        </w:tc>
        <w:tc>
          <w:tcPr>
            <w:tcW w:w="23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A1CEA">
            <w:pPr>
              <w:jc w:val="center"/>
              <w:rPr>
                <w:rFonts w:hint="default" w:ascii="宋体" w:hAnsi="宋体" w:eastAsia="宋体" w:cs="宋体"/>
                <w:color w:val="000000"/>
                <w:lang w:val="en-US" w:eastAsia="zh-CN"/>
              </w:rPr>
            </w:pPr>
            <w:r>
              <w:rPr>
                <w:rFonts w:hint="default" w:ascii="宋体" w:hAnsi="宋体" w:eastAsia="宋体" w:cs="宋体"/>
                <w:color w:val="000000"/>
                <w:lang w:val="en-US" w:eastAsia="zh-CN"/>
              </w:rPr>
              <w:t>2026.5.20-2026.5.26</w:t>
            </w:r>
          </w:p>
        </w:tc>
        <w:tc>
          <w:tcPr>
            <w:tcW w:w="1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0B8D6">
            <w:pPr>
              <w:textAlignment w:val="center"/>
              <w:rPr>
                <w:rFonts w:ascii="宋体" w:hAnsi="宋体" w:eastAsia="宋体" w:cs="宋体"/>
                <w:color w:val="000000"/>
              </w:rPr>
            </w:pPr>
            <w:r>
              <w:rPr>
                <w:rFonts w:hint="eastAsia" w:ascii="宋体" w:hAnsi="宋体" w:eastAsia="宋体" w:cs="宋体"/>
                <w:color w:val="000000"/>
                <w:lang w:bidi="ar"/>
              </w:rPr>
              <w:t>团队项目名称</w:t>
            </w:r>
          </w:p>
        </w:tc>
        <w:tc>
          <w:tcPr>
            <w:tcW w:w="3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A0251">
            <w:pPr>
              <w:rPr>
                <w:rFonts w:ascii="宋体" w:hAnsi="宋体" w:eastAsia="宋体" w:cs="宋体"/>
                <w:color w:val="000000"/>
              </w:rPr>
            </w:pPr>
            <w:r>
              <w:rPr>
                <w:rFonts w:hint="eastAsia" w:ascii="宋体" w:hAnsi="宋体" w:eastAsia="宋体" w:cs="宋体"/>
                <w:color w:val="000000"/>
              </w:rPr>
              <w:t>多智能体在线语音狼人杀</w:t>
            </w:r>
          </w:p>
        </w:tc>
      </w:tr>
      <w:tr w14:paraId="7FB5841D">
        <w:tblPrEx>
          <w:tblCellMar>
            <w:top w:w="0" w:type="dxa"/>
            <w:left w:w="108" w:type="dxa"/>
            <w:bottom w:w="0" w:type="dxa"/>
            <w:right w:w="108" w:type="dxa"/>
          </w:tblCellMar>
        </w:tblPrEx>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CF7D5">
            <w:pPr>
              <w:jc w:val="center"/>
              <w:textAlignment w:val="center"/>
              <w:rPr>
                <w:rFonts w:ascii="宋体" w:hAnsi="宋体" w:eastAsia="宋体" w:cs="宋体"/>
                <w:color w:val="000000"/>
              </w:rPr>
            </w:pPr>
            <w:r>
              <w:rPr>
                <w:rFonts w:hint="eastAsia" w:ascii="宋体" w:hAnsi="宋体" w:eastAsia="宋体" w:cs="宋体"/>
                <w:color w:val="000000"/>
                <w:lang w:bidi="ar"/>
              </w:rPr>
              <w:t>工作总结</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492F8EC5">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完成的内容</w:t>
            </w:r>
            <w:r>
              <w:rPr>
                <w:rFonts w:hint="eastAsia" w:ascii="宋体" w:hAnsi="宋体" w:eastAsia="宋体" w:cs="宋体"/>
                <w:color w:val="000000"/>
                <w:lang w:bidi="ar"/>
              </w:rPr>
              <w:t xml:space="preserve">： </w:t>
            </w:r>
          </w:p>
          <w:p w14:paraId="5D5D1FAD">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1、修复核心游戏流程中页面切换闪烁问题，校正计票显示逻辑并优化复盘前端的交互体验。</w:t>
            </w:r>
          </w:p>
          <w:p w14:paraId="66E1EC6A">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2、优化了游戏阶段切换动画、玩家头像显示机制以及联调配置文件。</w:t>
            </w:r>
          </w:p>
          <w:p w14:paraId="062B34C8">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3、持续进行线下前后端联调，逐步跑通全业务链路的数据闭环。</w:t>
            </w:r>
          </w:p>
          <w:p w14:paraId="4A2AD935">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4、编写并执行前端关键模块的单元测试与核心 API 的接口测试，确保代码质量与数据稳定性。</w:t>
            </w:r>
          </w:p>
          <w:p w14:paraId="5D7F9A68">
            <w:pPr>
              <w:textAlignment w:val="top"/>
              <w:rPr>
                <w:rFonts w:ascii="宋体" w:hAnsi="宋体" w:eastAsia="宋体" w:cs="宋体"/>
                <w:color w:val="000000"/>
                <w:lang w:bidi="ar"/>
              </w:rPr>
            </w:pPr>
            <w:r>
              <w:rPr>
                <w:rFonts w:hint="eastAsia" w:ascii="宋体" w:hAnsi="宋体" w:eastAsia="宋体" w:cs="宋体"/>
                <w:color w:val="000000"/>
                <w:lang w:val="en-US" w:eastAsia="zh-CN" w:bidi="ar"/>
              </w:rPr>
              <w:t>未完成的内容</w:t>
            </w:r>
            <w:r>
              <w:rPr>
                <w:rFonts w:hint="eastAsia" w:ascii="宋体" w:hAnsi="宋体" w:eastAsia="宋体" w:cs="宋体"/>
                <w:color w:val="000000"/>
                <w:lang w:bidi="ar"/>
              </w:rPr>
              <w:t>：</w:t>
            </w:r>
          </w:p>
          <w:p w14:paraId="59992128">
            <w:pPr>
              <w:numPr>
                <w:ilvl w:val="0"/>
                <w:numId w:val="1"/>
              </w:numPr>
              <w:ind w:left="425" w:leftChars="0" w:hanging="425" w:firstLineChars="0"/>
              <w:textAlignment w:val="top"/>
              <w:rPr>
                <w:rFonts w:hint="eastAsia" w:ascii="宋体" w:hAnsi="宋体" w:eastAsia="宋体" w:cs="宋体"/>
                <w:color w:val="000000"/>
                <w:lang w:bidi="ar"/>
              </w:rPr>
            </w:pPr>
            <w:r>
              <w:rPr>
                <w:rFonts w:hint="eastAsia" w:ascii="宋体" w:hAnsi="宋体" w:eastAsia="宋体" w:cs="宋体"/>
                <w:color w:val="000000"/>
                <w:lang w:bidi="ar"/>
              </w:rPr>
              <w:t>提升复盘文件格式读取的鲁棒性，以应对复杂或异常的数据结构</w:t>
            </w:r>
            <w:bookmarkStart w:id="1" w:name="_GoBack"/>
            <w:bookmarkEnd w:id="1"/>
            <w:r>
              <w:rPr>
                <w:rFonts w:hint="eastAsia" w:ascii="宋体" w:hAnsi="宋体" w:eastAsia="宋体" w:cs="宋体"/>
                <w:color w:val="000000"/>
                <w:lang w:bidi="ar"/>
              </w:rPr>
              <w:t>。</w:t>
            </w:r>
          </w:p>
          <w:p w14:paraId="1057DEE3">
            <w:pPr>
              <w:numPr>
                <w:ilvl w:val="0"/>
                <w:numId w:val="1"/>
              </w:numPr>
              <w:ind w:left="425" w:leftChars="0" w:hanging="425" w:firstLineChars="0"/>
              <w:textAlignment w:val="top"/>
              <w:rPr>
                <w:rFonts w:ascii="宋体" w:hAnsi="宋体" w:eastAsia="宋体" w:cs="宋体"/>
                <w:color w:val="000000"/>
                <w:lang w:bidi="ar"/>
              </w:rPr>
            </w:pPr>
            <w:r>
              <w:rPr>
                <w:rFonts w:hint="eastAsia" w:ascii="宋体" w:hAnsi="宋体" w:eastAsia="宋体" w:cs="宋体"/>
                <w:color w:val="000000"/>
                <w:lang w:bidi="ar"/>
              </w:rPr>
              <w:t>全面强化前端整体代码的健壮性，补充异常捕获与边界场景的兜底逻辑。</w:t>
            </w:r>
          </w:p>
        </w:tc>
      </w:tr>
      <w:tr w14:paraId="065E83DE">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95AE8">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50372C2A">
            <w:pPr>
              <w:rPr>
                <w:rFonts w:ascii="宋体" w:hAnsi="宋体" w:eastAsia="宋体" w:cs="宋体"/>
                <w:color w:val="000000"/>
              </w:rPr>
            </w:pPr>
          </w:p>
        </w:tc>
      </w:tr>
      <w:tr w14:paraId="57BD226F">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9657E">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noWrap/>
          </w:tcPr>
          <w:p w14:paraId="6A0AA82E">
            <w:pPr>
              <w:textAlignment w:val="top"/>
              <w:rPr>
                <w:rFonts w:hint="eastAsia" w:ascii="宋体" w:hAnsi="宋体" w:eastAsia="宋体" w:cs="宋体"/>
                <w:color w:val="000000"/>
                <w:lang w:bidi="ar"/>
              </w:rPr>
            </w:pPr>
            <w:r>
              <w:rPr>
                <w:rFonts w:hint="eastAsia" w:ascii="宋体" w:hAnsi="宋体" w:eastAsia="宋体" w:cs="宋体"/>
                <w:color w:val="000000"/>
                <w:lang w:bidi="ar"/>
              </w:rPr>
              <w:t>现存问题：</w:t>
            </w:r>
          </w:p>
          <w:p w14:paraId="062A3A3E">
            <w:pPr>
              <w:numPr>
                <w:ilvl w:val="0"/>
                <w:numId w:val="2"/>
              </w:numPr>
              <w:ind w:left="360" w:leftChars="0" w:hanging="360" w:firstLineChars="0"/>
              <w:textAlignment w:val="top"/>
              <w:rPr>
                <w:rFonts w:hint="eastAsia" w:ascii="宋体" w:hAnsi="宋体" w:eastAsia="宋体" w:cs="宋体"/>
                <w:color w:val="000000"/>
                <w:lang w:bidi="ar"/>
              </w:rPr>
            </w:pPr>
            <w:r>
              <w:rPr>
                <w:rFonts w:hint="eastAsia" w:ascii="宋体" w:hAnsi="宋体" w:eastAsia="宋体" w:cs="宋体"/>
                <w:color w:val="000000"/>
                <w:lang w:bidi="ar"/>
              </w:rPr>
              <w:t>在大规模执行单元测试时，部分高频动画组件因异步渲染问题导致测试用例编写较为复杂。</w:t>
            </w:r>
          </w:p>
          <w:p w14:paraId="0A050A24">
            <w:pPr>
              <w:numPr>
                <w:ilvl w:val="0"/>
                <w:numId w:val="2"/>
              </w:numPr>
              <w:ind w:left="360" w:leftChars="0" w:hanging="360" w:firstLineChars="0"/>
              <w:textAlignment w:val="top"/>
              <w:rPr>
                <w:rFonts w:hint="eastAsia" w:ascii="宋体" w:hAnsi="宋体" w:eastAsia="宋体" w:cs="宋体"/>
                <w:color w:val="000000"/>
                <w:lang w:bidi="ar"/>
              </w:rPr>
            </w:pPr>
            <w:r>
              <w:rPr>
                <w:rFonts w:hint="eastAsia" w:ascii="宋体" w:hAnsi="宋体" w:eastAsia="宋体" w:cs="宋体"/>
                <w:color w:val="000000"/>
                <w:lang w:bidi="ar"/>
              </w:rPr>
              <w:t>随着结算页面和阶段切换逻辑的增加，前端全局状态机在多局连续游戏时的重置逻辑仍需进一步严谨化。</w:t>
            </w:r>
          </w:p>
        </w:tc>
      </w:tr>
      <w:tr w14:paraId="29D72DD8">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8D85F">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noWrap/>
          </w:tcPr>
          <w:p w14:paraId="16AFE185">
            <w:pPr>
              <w:rPr>
                <w:rFonts w:ascii="宋体" w:hAnsi="宋体" w:eastAsia="宋体" w:cs="宋体"/>
                <w:color w:val="000000"/>
              </w:rPr>
            </w:pPr>
          </w:p>
        </w:tc>
      </w:tr>
      <w:tr w14:paraId="0B9D2C53">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C3D0F">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417D9AF8">
            <w:pPr>
              <w:textAlignment w:val="top"/>
              <w:rPr>
                <w:rFonts w:hint="eastAsia" w:ascii="宋体" w:hAnsi="宋体" w:eastAsia="宋体" w:cs="宋体"/>
                <w:color w:val="000000"/>
                <w:lang w:bidi="ar"/>
              </w:rPr>
            </w:pPr>
            <w:r>
              <w:rPr>
                <w:rFonts w:hint="eastAsia" w:ascii="宋体" w:hAnsi="宋体" w:eastAsia="宋体" w:cs="宋体"/>
                <w:color w:val="000000"/>
                <w:lang w:bidi="ar"/>
              </w:rPr>
              <w:t>改进建议：</w:t>
            </w:r>
          </w:p>
          <w:p w14:paraId="11A361E9">
            <w:pPr>
              <w:numPr>
                <w:ilvl w:val="0"/>
                <w:numId w:val="3"/>
              </w:numPr>
              <w:ind w:left="0" w:leftChars="0" w:firstLine="0" w:firstLineChars="0"/>
              <w:textAlignment w:val="top"/>
              <w:rPr>
                <w:rFonts w:hint="eastAsia" w:ascii="宋体" w:hAnsi="宋体" w:eastAsia="宋体" w:cs="宋体"/>
                <w:color w:val="000000"/>
              </w:rPr>
            </w:pPr>
            <w:r>
              <w:rPr>
                <w:rFonts w:hint="eastAsia" w:ascii="宋体" w:hAnsi="宋体" w:eastAsia="宋体" w:cs="宋体"/>
                <w:color w:val="000000"/>
              </w:rPr>
              <w:t>针对异步渲染的 UI 组件补充针对性的测试用例，提高核心交互前端代码的测试覆盖率。</w:t>
            </w:r>
          </w:p>
          <w:p w14:paraId="07CB86A2">
            <w:pPr>
              <w:numPr>
                <w:ilvl w:val="0"/>
                <w:numId w:val="3"/>
              </w:numPr>
              <w:ind w:left="0" w:leftChars="0" w:firstLine="0" w:firstLineChars="0"/>
              <w:textAlignment w:val="top"/>
              <w:rPr>
                <w:rFonts w:ascii="宋体" w:hAnsi="宋体" w:eastAsia="宋体" w:cs="宋体"/>
                <w:color w:val="000000"/>
              </w:rPr>
            </w:pPr>
            <w:r>
              <w:rPr>
                <w:rFonts w:hint="eastAsia" w:ascii="宋体" w:hAnsi="宋体" w:eastAsia="宋体" w:cs="宋体"/>
                <w:color w:val="000000"/>
              </w:rPr>
              <w:t>优化连续游戏对局下的前端垃圾回收与状态重置机制，防止出现上一局数据污染或页面残留。</w:t>
            </w:r>
          </w:p>
        </w:tc>
      </w:tr>
      <w:tr w14:paraId="3D3C7E90">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6F289">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77D57D51">
            <w:pPr>
              <w:rPr>
                <w:rFonts w:ascii="宋体" w:hAnsi="宋体" w:eastAsia="宋体" w:cs="宋体"/>
                <w:color w:val="000000"/>
              </w:rPr>
            </w:pPr>
          </w:p>
        </w:tc>
      </w:tr>
      <w:tr w14:paraId="73B21E0B">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D896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69B7DC3F">
            <w:pPr>
              <w:rPr>
                <w:rFonts w:ascii="宋体" w:hAnsi="宋体" w:eastAsia="宋体" w:cs="宋体"/>
                <w:color w:val="000000"/>
              </w:rPr>
            </w:pPr>
          </w:p>
        </w:tc>
      </w:tr>
      <w:tr w14:paraId="79A517F8">
        <w:tblPrEx>
          <w:tblCellMar>
            <w:top w:w="0" w:type="dxa"/>
            <w:left w:w="108" w:type="dxa"/>
            <w:bottom w:w="0" w:type="dxa"/>
            <w:right w:w="108" w:type="dxa"/>
          </w:tblCellMar>
        </w:tblPrEx>
        <w:trPr>
          <w:trHeight w:val="312"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4017C">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670627F">
            <w:pPr>
              <w:rPr>
                <w:rFonts w:ascii="宋体" w:hAnsi="宋体" w:eastAsia="宋体" w:cs="宋体"/>
                <w:color w:val="000000"/>
              </w:rPr>
            </w:pPr>
          </w:p>
        </w:tc>
      </w:tr>
      <w:tr w14:paraId="5F3E09F6">
        <w:tblPrEx>
          <w:tblCellMar>
            <w:top w:w="0" w:type="dxa"/>
            <w:left w:w="108" w:type="dxa"/>
            <w:bottom w:w="0" w:type="dxa"/>
            <w:right w:w="108" w:type="dxa"/>
          </w:tblCellMar>
        </w:tblPrEx>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3C2D2">
            <w:pPr>
              <w:jc w:val="center"/>
              <w:textAlignment w:val="center"/>
              <w:rPr>
                <w:rFonts w:ascii="宋体" w:hAnsi="宋体" w:eastAsia="宋体" w:cs="宋体"/>
                <w:color w:val="000000"/>
              </w:rPr>
            </w:pPr>
            <w:r>
              <w:rPr>
                <w:rFonts w:hint="eastAsia" w:ascii="宋体" w:hAnsi="宋体" w:eastAsia="宋体" w:cs="宋体"/>
                <w:color w:val="000000"/>
                <w:lang w:bidi="ar"/>
              </w:rPr>
              <w:t>工作计划</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19E067EC">
            <w:pPr>
              <w:textAlignment w:val="top"/>
              <w:rPr>
                <w:rFonts w:ascii="宋体" w:hAnsi="宋体" w:eastAsia="宋体" w:cs="宋体"/>
                <w:color w:val="000000"/>
                <w:lang w:bidi="ar"/>
              </w:rPr>
            </w:pPr>
            <w:r>
              <w:rPr>
                <w:rFonts w:hint="eastAsia" w:ascii="宋体" w:hAnsi="宋体" w:eastAsia="宋体" w:cs="宋体"/>
                <w:color w:val="000000"/>
                <w:lang w:bidi="ar"/>
              </w:rPr>
              <w:t>内容：</w:t>
            </w:r>
          </w:p>
          <w:p w14:paraId="0DC452FC">
            <w:pPr>
              <w:numPr>
                <w:ilvl w:val="0"/>
                <w:numId w:val="4"/>
              </w:numPr>
              <w:textAlignment w:val="top"/>
              <w:rPr>
                <w:rFonts w:ascii="宋体" w:hAnsi="宋体" w:eastAsia="宋体" w:cs="宋体"/>
                <w:color w:val="000000"/>
                <w:lang w:bidi="ar"/>
              </w:rPr>
            </w:pPr>
            <w:r>
              <w:rPr>
                <w:rFonts w:ascii="宋体" w:hAnsi="宋体" w:eastAsia="宋体" w:cs="宋体"/>
                <w:color w:val="000000"/>
                <w:lang w:bidi="ar"/>
              </w:rPr>
              <w:t xml:space="preserve">集中修复本周测试阶段拦截到的各类前端逻辑缺陷与接口兼容 Bug； </w:t>
            </w:r>
          </w:p>
          <w:p w14:paraId="42F5A2FE">
            <w:pPr>
              <w:numPr>
                <w:ilvl w:val="0"/>
                <w:numId w:val="4"/>
              </w:numPr>
              <w:textAlignment w:val="top"/>
              <w:rPr>
                <w:rFonts w:ascii="宋体" w:hAnsi="宋体" w:eastAsia="宋体" w:cs="宋体"/>
                <w:color w:val="000000"/>
                <w:lang w:bidi="ar"/>
              </w:rPr>
            </w:pPr>
            <w:r>
              <w:rPr>
                <w:rFonts w:ascii="宋体" w:hAnsi="宋体" w:eastAsia="宋体" w:cs="宋体"/>
                <w:color w:val="000000"/>
                <w:lang w:bidi="ar"/>
              </w:rPr>
              <w:t xml:space="preserve">重点排查复盘文件解析逻辑，增加容错处理机制； </w:t>
            </w:r>
          </w:p>
          <w:p w14:paraId="3649A82D">
            <w:pPr>
              <w:numPr>
                <w:ilvl w:val="0"/>
                <w:numId w:val="4"/>
              </w:numPr>
              <w:textAlignment w:val="top"/>
              <w:rPr>
                <w:rFonts w:ascii="宋体" w:hAnsi="宋体" w:eastAsia="宋体" w:cs="宋体"/>
                <w:color w:val="000000"/>
                <w:lang w:bidi="ar"/>
              </w:rPr>
            </w:pPr>
            <w:r>
              <w:rPr>
                <w:rFonts w:ascii="宋体" w:hAnsi="宋体" w:eastAsia="宋体" w:cs="宋体"/>
                <w:color w:val="000000"/>
                <w:lang w:bidi="ar"/>
              </w:rPr>
              <w:t>配合团队推进由线下联调向线上服务器部署及联合全流程回归测试的过渡。</w:t>
            </w:r>
          </w:p>
        </w:tc>
      </w:tr>
      <w:tr w14:paraId="5CEC6914">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C5975">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96C716F">
            <w:pPr>
              <w:rPr>
                <w:rFonts w:ascii="宋体" w:hAnsi="宋体" w:eastAsia="宋体" w:cs="宋体"/>
                <w:color w:val="000000"/>
              </w:rPr>
            </w:pPr>
          </w:p>
        </w:tc>
      </w:tr>
      <w:tr w14:paraId="0F07831E">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2DEFA">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FAE057A">
            <w:pPr>
              <w:rPr>
                <w:rFonts w:ascii="宋体" w:hAnsi="宋体" w:eastAsia="宋体" w:cs="宋体"/>
                <w:color w:val="000000"/>
              </w:rPr>
            </w:pPr>
          </w:p>
        </w:tc>
      </w:tr>
      <w:tr w14:paraId="41561970">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DA8B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FA49F6B">
            <w:pPr>
              <w:rPr>
                <w:rFonts w:ascii="宋体" w:hAnsi="宋体" w:eastAsia="宋体" w:cs="宋体"/>
                <w:color w:val="000000"/>
              </w:rPr>
            </w:pPr>
          </w:p>
        </w:tc>
      </w:tr>
      <w:tr w14:paraId="03A2BC01">
        <w:tblPrEx>
          <w:tblCellMar>
            <w:top w:w="0" w:type="dxa"/>
            <w:left w:w="108" w:type="dxa"/>
            <w:bottom w:w="0" w:type="dxa"/>
            <w:right w:w="108" w:type="dxa"/>
          </w:tblCellMar>
        </w:tblPrEx>
        <w:trPr>
          <w:trHeight w:val="312"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007F">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002E69AC">
            <w:pPr>
              <w:rPr>
                <w:rFonts w:ascii="宋体" w:hAnsi="宋体" w:eastAsia="宋体" w:cs="宋体"/>
                <w:color w:val="000000"/>
              </w:rPr>
            </w:pPr>
          </w:p>
        </w:tc>
      </w:tr>
      <w:tr w14:paraId="68A1C647">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9E62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7D9805CE">
            <w:pPr>
              <w:rPr>
                <w:rFonts w:ascii="宋体" w:hAnsi="宋体" w:eastAsia="宋体" w:cs="宋体"/>
                <w:color w:val="000000"/>
              </w:rPr>
            </w:pPr>
          </w:p>
        </w:tc>
      </w:tr>
    </w:tbl>
    <w:p w14:paraId="5A37E5D2">
      <w:bookmarkStart w:id="0" w:name="OLE_LINK1"/>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3A45C"/>
    <w:multiLevelType w:val="multilevel"/>
    <w:tmpl w:val="A703A45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433AF11"/>
    <w:multiLevelType w:val="singleLevel"/>
    <w:tmpl w:val="F433AF11"/>
    <w:lvl w:ilvl="0" w:tentative="0">
      <w:start w:val="1"/>
      <w:numFmt w:val="decimal"/>
      <w:suff w:val="space"/>
      <w:lvlText w:val="%1."/>
      <w:lvlJc w:val="left"/>
    </w:lvl>
  </w:abstractNum>
  <w:abstractNum w:abstractNumId="2">
    <w:nsid w:val="18EF3DEF"/>
    <w:multiLevelType w:val="singleLevel"/>
    <w:tmpl w:val="18EF3DEF"/>
    <w:lvl w:ilvl="0" w:tentative="0">
      <w:start w:val="1"/>
      <w:numFmt w:val="decimal"/>
      <w:suff w:val="space"/>
      <w:lvlText w:val="%1."/>
      <w:lvlJc w:val="left"/>
    </w:lvl>
  </w:abstractNum>
  <w:abstractNum w:abstractNumId="3">
    <w:nsid w:val="7D306339"/>
    <w:multiLevelType w:val="singleLevel"/>
    <w:tmpl w:val="7D306339"/>
    <w:lvl w:ilvl="0" w:tentative="0">
      <w:start w:val="1"/>
      <w:numFmt w:val="decimal"/>
      <w:lvlText w:val="%1."/>
      <w:lvlJc w:val="left"/>
      <w:pPr>
        <w:ind w:left="425" w:hanging="425"/>
      </w:pPr>
      <w:rPr>
        <w:rFont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mZjUyODFhNThlNzU5NDFjYjhkOTk2YjQ0Mzc1MDIifQ=="/>
  </w:docVars>
  <w:rsids>
    <w:rsidRoot w:val="437A79AD"/>
    <w:rsid w:val="00110E20"/>
    <w:rsid w:val="00114822"/>
    <w:rsid w:val="001E4183"/>
    <w:rsid w:val="00300F98"/>
    <w:rsid w:val="003439E7"/>
    <w:rsid w:val="00443541"/>
    <w:rsid w:val="004A06CB"/>
    <w:rsid w:val="00533D01"/>
    <w:rsid w:val="005C4C0D"/>
    <w:rsid w:val="005F16EA"/>
    <w:rsid w:val="00723E99"/>
    <w:rsid w:val="007C29DE"/>
    <w:rsid w:val="007E1DFF"/>
    <w:rsid w:val="00846B2B"/>
    <w:rsid w:val="00866DAE"/>
    <w:rsid w:val="008A65EF"/>
    <w:rsid w:val="009A07ED"/>
    <w:rsid w:val="00A7197A"/>
    <w:rsid w:val="00B5521B"/>
    <w:rsid w:val="00C226C5"/>
    <w:rsid w:val="00C34AD5"/>
    <w:rsid w:val="00C86830"/>
    <w:rsid w:val="00CF196D"/>
    <w:rsid w:val="00DB7FF7"/>
    <w:rsid w:val="00FC0BA1"/>
    <w:rsid w:val="00FF3B2F"/>
    <w:rsid w:val="016636EA"/>
    <w:rsid w:val="122431D2"/>
    <w:rsid w:val="14CE28DE"/>
    <w:rsid w:val="1DED4DC0"/>
    <w:rsid w:val="3424099D"/>
    <w:rsid w:val="39D5158E"/>
    <w:rsid w:val="3C5308F7"/>
    <w:rsid w:val="3D2E4379"/>
    <w:rsid w:val="410C015A"/>
    <w:rsid w:val="437A79AD"/>
    <w:rsid w:val="43C14757"/>
    <w:rsid w:val="5B821E07"/>
    <w:rsid w:val="5C000628"/>
    <w:rsid w:val="657D0592"/>
    <w:rsid w:val="67040B23"/>
    <w:rsid w:val="7757075D"/>
    <w:rsid w:val="7FAC3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6">
    <w:name w:val="代码"/>
    <w:basedOn w:val="1"/>
    <w:link w:val="7"/>
    <w:qFormat/>
    <w:uiPriority w:val="0"/>
    <w:rPr>
      <w:sz w:val="21"/>
      <w:szCs w:val="20"/>
    </w:rPr>
  </w:style>
  <w:style w:type="character" w:customStyle="1" w:styleId="7">
    <w:name w:val="代码 字符"/>
    <w:basedOn w:val="8"/>
    <w:link w:val="6"/>
    <w:qFormat/>
    <w:uiPriority w:val="0"/>
    <w:rPr>
      <w:rFonts w:asciiTheme="minorHAnsi" w:hAnsiTheme="minorHAnsi" w:eastAsiaTheme="minorEastAsia"/>
      <w:sz w:val="21"/>
      <w:szCs w:val="20"/>
      <w:shd w:val="clear" w:color="auto" w:fill="D9D9D9"/>
    </w:rPr>
  </w:style>
  <w:style w:type="character" w:customStyle="1" w:styleId="8">
    <w:name w:val="coder Char"/>
    <w:basedOn w:val="5"/>
    <w:link w:val="9"/>
    <w:qFormat/>
    <w:uiPriority w:val="0"/>
    <w:rPr>
      <w:sz w:val="18"/>
      <w:shd w:val="clear" w:color="auto" w:fill="D9D9D9"/>
    </w:rPr>
  </w:style>
  <w:style w:type="paragraph" w:customStyle="1" w:styleId="9">
    <w:name w:val="coder"/>
    <w:basedOn w:val="1"/>
    <w:link w:val="8"/>
    <w:qFormat/>
    <w:uiPriority w:val="0"/>
    <w:pPr>
      <w:pBdr>
        <w:top w:val="dashSmallGap" w:color="auto" w:sz="4" w:space="1"/>
        <w:left w:val="dashSmallGap" w:color="auto" w:sz="4" w:space="4"/>
        <w:bottom w:val="dashSmallGap" w:color="auto" w:sz="4" w:space="1"/>
        <w:right w:val="dashSmallGap" w:color="auto" w:sz="4" w:space="4"/>
      </w:pBdr>
      <w:shd w:val="clear" w:color="auto" w:fill="D9D9D9"/>
    </w:pPr>
    <w:rPr>
      <w:sz w:val="18"/>
      <w:szCs w:val="20"/>
    </w:rPr>
  </w:style>
  <w:style w:type="paragraph" w:styleId="10">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431</Words>
  <Characters>458</Characters>
  <Lines>6</Lines>
  <Paragraphs>1</Paragraphs>
  <TotalTime>43</TotalTime>
  <ScaleCrop>false</ScaleCrop>
  <LinksUpToDate>false</LinksUpToDate>
  <CharactersWithSpaces>474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2023-02-21T12:12:00Z</dcterms:created>
  <dc:creator>假如我</dc:creator>
  <cp:lastModifiedBy>Cehua Yang</cp:lastModifiedBy>
  <dcterms:modified xsi:type="dcterms:W3CDTF">2026-06-03T02:10:03Z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95A326C9540541358D524E0EFC30FF3E_13</vt:lpwstr>
  </property>
  <property fmtid="{D5CDD505-2E9C-101B-9397-08002B2CF9AE}" pid="4" name="GrammarlyDocumentId">
    <vt:lpwstr>cf07466913ce92f694eb0fd762c009819c6a922a35273a52976e2e7f78453ab3</vt:lpwstr>
  </property>
  <property fmtid="{D5CDD505-2E9C-101B-9397-08002B2CF9AE}" pid="5" name="KSOTemplateDocerSaveRecord">
    <vt:lpwstr>eyJoZGlkIjoiMjNiMmExMWExYzg0ZGEwYzU1MjRjYWNiYzQ1OGFhYTIiLCJ1c2VySWQiOiI1NTg5MTQ1OTcifQ==</vt:lpwstr>
  </property>
</Properties>
</file>