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1268" w:tblpY="1518"/>
        <w:tblOverlap w:val="never"/>
        <w:tblW w:w="10128" w:type="dxa"/>
        <w:tblInd w:w="0" w:type="dxa"/>
        <w:tblLayout w:type="fixed"/>
        <w:tblCellMar>
          <w:top w:w="0" w:type="dxa"/>
          <w:left w:w="108" w:type="dxa"/>
          <w:bottom w:w="0" w:type="dxa"/>
          <w:right w:w="108" w:type="dxa"/>
        </w:tblCellMar>
      </w:tblPr>
      <w:tblGrid>
        <w:gridCol w:w="675"/>
        <w:gridCol w:w="1269"/>
        <w:gridCol w:w="999"/>
        <w:gridCol w:w="2349"/>
        <w:gridCol w:w="1548"/>
        <w:gridCol w:w="3288"/>
      </w:tblGrid>
      <w:tr w14:paraId="4B7857D8">
        <w:trPr>
          <w:trHeight w:val="564" w:hRule="atLeast"/>
        </w:trPr>
        <w:tc>
          <w:tcPr>
            <w:tcW w:w="10128" w:type="dxa"/>
            <w:gridSpan w:val="6"/>
            <w:tcBorders>
              <w:top w:val="nil"/>
              <w:left w:val="nil"/>
              <w:bottom w:val="single" w:color="000000" w:sz="4" w:space="0"/>
              <w:right w:val="nil"/>
            </w:tcBorders>
            <w:shd w:val="clear" w:color="auto" w:fill="auto"/>
            <w:noWrap/>
            <w:vAlign w:val="center"/>
          </w:tcPr>
          <w:p w14:paraId="66D6DE06">
            <w:pPr>
              <w:jc w:val="center"/>
              <w:textAlignment w:val="center"/>
              <w:rPr>
                <w:rFonts w:ascii="宋体" w:hAnsi="宋体" w:eastAsia="宋体" w:cs="宋体"/>
                <w:b/>
                <w:bCs/>
                <w:color w:val="000000"/>
                <w:sz w:val="44"/>
                <w:szCs w:val="44"/>
              </w:rPr>
            </w:pPr>
            <w:r>
              <w:rPr>
                <w:rFonts w:hint="eastAsia" w:ascii="宋体" w:hAnsi="宋体" w:eastAsia="宋体" w:cs="宋体"/>
                <w:b/>
                <w:bCs/>
                <w:color w:val="000000"/>
                <w:sz w:val="44"/>
                <w:szCs w:val="44"/>
                <w:lang w:bidi="ar"/>
              </w:rPr>
              <w:t>工作周报</w:t>
            </w:r>
          </w:p>
        </w:tc>
      </w:tr>
      <w:tr w14:paraId="1EF2F814">
        <w:trPr>
          <w:trHeight w:val="614" w:hRule="atLeast"/>
        </w:trPr>
        <w:tc>
          <w:tcPr>
            <w:tcW w:w="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9F009">
            <w:pPr>
              <w:jc w:val="center"/>
              <w:textAlignment w:val="center"/>
              <w:rPr>
                <w:rFonts w:ascii="宋体" w:hAnsi="宋体" w:eastAsia="宋体" w:cs="宋体"/>
                <w:color w:val="000000"/>
              </w:rPr>
            </w:pPr>
            <w:r>
              <w:rPr>
                <w:rFonts w:hint="eastAsia" w:ascii="宋体" w:hAnsi="宋体" w:eastAsia="宋体" w:cs="宋体"/>
                <w:color w:val="000000"/>
                <w:lang w:bidi="ar"/>
              </w:rPr>
              <w:t>姓名</w:t>
            </w:r>
          </w:p>
        </w:tc>
        <w:tc>
          <w:tcPr>
            <w:tcW w:w="12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0F2F8">
            <w:pPr>
              <w:jc w:val="center"/>
              <w:rPr>
                <w:rFonts w:hint="default" w:ascii="宋体" w:hAnsi="宋体" w:eastAsia="宋体" w:cs="宋体"/>
                <w:color w:val="000000"/>
                <w:lang w:val="en-US" w:eastAsia="zh-CN"/>
              </w:rPr>
            </w:pPr>
            <w:r>
              <w:rPr>
                <w:rFonts w:hint="eastAsia" w:ascii="宋体" w:hAnsi="宋体" w:eastAsia="宋体" w:cs="宋体"/>
                <w:color w:val="000000"/>
                <w:lang w:val="en-US" w:eastAsia="zh-CN"/>
              </w:rPr>
              <w:t>范盛颉</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4C8C4">
            <w:pPr>
              <w:jc w:val="center"/>
              <w:textAlignment w:val="center"/>
              <w:rPr>
                <w:rFonts w:ascii="宋体" w:hAnsi="宋体" w:eastAsia="宋体" w:cs="宋体"/>
                <w:color w:val="000000"/>
              </w:rPr>
            </w:pPr>
            <w:r>
              <w:rPr>
                <w:rFonts w:hint="eastAsia" w:ascii="宋体" w:hAnsi="宋体" w:eastAsia="宋体" w:cs="宋体"/>
                <w:color w:val="000000"/>
                <w:lang w:bidi="ar"/>
              </w:rPr>
              <w:t>时间</w:t>
            </w:r>
          </w:p>
        </w:tc>
        <w:tc>
          <w:tcPr>
            <w:tcW w:w="23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4B633">
            <w:pPr>
              <w:jc w:val="center"/>
              <w:rPr>
                <w:rFonts w:ascii="宋体" w:hAnsi="宋体" w:eastAsia="宋体" w:cs="宋体"/>
                <w:color w:val="000000"/>
              </w:rPr>
            </w:pPr>
            <w:r>
              <w:rPr>
                <w:rFonts w:hint="eastAsia" w:ascii="宋体" w:hAnsi="宋体" w:eastAsia="宋体" w:cs="宋体"/>
                <w:color w:val="000000"/>
              </w:rPr>
              <w:t>2</w:t>
            </w:r>
            <w:r>
              <w:rPr>
                <w:rFonts w:ascii="宋体" w:hAnsi="宋体" w:eastAsia="宋体" w:cs="宋体"/>
                <w:color w:val="000000"/>
              </w:rPr>
              <w:t>026.5.13-2026.5.19</w:t>
            </w:r>
          </w:p>
        </w:tc>
        <w:tc>
          <w:tcPr>
            <w:tcW w:w="1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0AA22">
            <w:pPr>
              <w:textAlignment w:val="center"/>
              <w:rPr>
                <w:rFonts w:ascii="宋体" w:hAnsi="宋体" w:eastAsia="宋体" w:cs="宋体"/>
                <w:color w:val="000000"/>
              </w:rPr>
            </w:pPr>
            <w:r>
              <w:rPr>
                <w:rFonts w:hint="eastAsia" w:ascii="宋体" w:hAnsi="宋体" w:eastAsia="宋体" w:cs="宋体"/>
                <w:color w:val="000000"/>
                <w:lang w:bidi="ar"/>
              </w:rPr>
              <w:t>团队项目名称</w:t>
            </w:r>
          </w:p>
        </w:tc>
        <w:tc>
          <w:tcPr>
            <w:tcW w:w="3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E6562">
            <w:pPr>
              <w:rPr>
                <w:rFonts w:ascii="宋体" w:hAnsi="宋体" w:eastAsia="宋体" w:cs="宋体"/>
                <w:color w:val="000000"/>
              </w:rPr>
            </w:pPr>
            <w:r>
              <w:rPr>
                <w:rFonts w:hint="eastAsia" w:ascii="宋体" w:hAnsi="宋体" w:eastAsia="宋体" w:cs="宋体"/>
                <w:color w:val="000000"/>
              </w:rPr>
              <w:t>多智能体在线语音狼人杀</w:t>
            </w:r>
          </w:p>
        </w:tc>
      </w:tr>
      <w:tr w14:paraId="7E72464D">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6FC0D">
            <w:pPr>
              <w:jc w:val="center"/>
              <w:textAlignment w:val="center"/>
              <w:rPr>
                <w:rFonts w:ascii="宋体" w:hAnsi="宋体" w:eastAsia="宋体" w:cs="宋体"/>
                <w:color w:val="000000"/>
              </w:rPr>
            </w:pPr>
            <w:r>
              <w:rPr>
                <w:rFonts w:hint="eastAsia" w:ascii="宋体" w:hAnsi="宋体" w:eastAsia="宋体" w:cs="宋体"/>
                <w:color w:val="000000"/>
                <w:lang w:bidi="ar"/>
              </w:rPr>
              <w:t>工作总结</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207DE250">
            <w:pPr>
              <w:textAlignment w:val="top"/>
              <w:rPr>
                <w:rFonts w:ascii="Times New Roman" w:hAnsi="Times New Roman" w:eastAsia="宋体" w:cs="Times New Roman"/>
                <w:color w:val="000000"/>
                <w:lang w:bidi="ar"/>
              </w:rPr>
            </w:pPr>
            <w:r>
              <w:rPr>
                <w:rFonts w:ascii="Times New Roman" w:hAnsi="Times New Roman" w:eastAsia="宋体" w:cs="Times New Roman"/>
                <w:color w:val="000000"/>
                <w:lang w:bidi="ar"/>
              </w:rPr>
              <w:t>小组工作进展：</w:t>
            </w:r>
          </w:p>
          <w:p w14:paraId="3160CBEC">
            <w:pPr>
              <w:pStyle w:val="11"/>
              <w:numPr>
                <w:ilvl w:val="0"/>
                <w:numId w:val="1"/>
              </w:numPr>
              <w:ind w:firstLineChars="0"/>
              <w:textAlignment w:val="top"/>
              <w:rPr>
                <w:rFonts w:hint="eastAsia" w:ascii="Times New Roman" w:hAnsi="Times New Roman" w:cs="Times New Roman"/>
              </w:rPr>
            </w:pPr>
            <w:r>
              <w:rPr>
                <w:rFonts w:hint="eastAsia" w:ascii="Times New Roman" w:hAnsi="Times New Roman" w:cs="Times New Roman"/>
              </w:rPr>
              <w:t>主游戏后端流式语音模块修改：</w:t>
            </w:r>
            <w:r>
              <w:rPr>
                <w:rFonts w:ascii="Times New Roman" w:hAnsi="Times New Roman" w:cs="Times New Roman"/>
              </w:rPr>
              <w:t>本周</w:t>
            </w:r>
            <w:r>
              <w:rPr>
                <w:rFonts w:hint="eastAsia" w:ascii="Times New Roman" w:hAnsi="Times New Roman" w:cs="Times New Roman"/>
              </w:rPr>
              <w:t>小组</w:t>
            </w:r>
            <w:r>
              <w:rPr>
                <w:rFonts w:ascii="Times New Roman" w:hAnsi="Times New Roman" w:cs="Times New Roman"/>
              </w:rPr>
              <w:t>对主游戏后端中的语音交互模块进行了调整和优化。此前游戏中的语音功能主要依赖现成的STT和TTS库完成基础调用，</w:t>
            </w:r>
            <w:r>
              <w:rPr>
                <w:rFonts w:hint="eastAsia" w:ascii="Times New Roman" w:hAnsi="Times New Roman" w:cs="Times New Roman"/>
              </w:rPr>
              <w:t>虽能满足基础的语音识别需求但对于游戏交互实时性来说效果偏弱。我们将语音模块的处理方式调整为支持实时流式处理，可以在玩家发言过程中持续接受语音数据流并逐步进行语音识别、文本转写和后端处理，提升了语音交互的实时性。</w:t>
            </w:r>
          </w:p>
          <w:p w14:paraId="18CE26F7">
            <w:pPr>
              <w:pStyle w:val="11"/>
              <w:numPr>
                <w:ilvl w:val="0"/>
                <w:numId w:val="1"/>
              </w:numPr>
              <w:ind w:firstLineChars="0"/>
              <w:textAlignment w:val="top"/>
              <w:rPr>
                <w:rFonts w:ascii="Times New Roman" w:hAnsi="Times New Roman" w:cs="Times New Roman"/>
              </w:rPr>
            </w:pPr>
            <w:r>
              <w:rPr>
                <w:rFonts w:hint="eastAsia" w:ascii="Times New Roman" w:hAnsi="Times New Roman" w:cs="Times New Roman"/>
              </w:rPr>
              <w:t>AI复盘功能模块改进：当前的复盘模块可以支撑对游戏对局中每一位玩家以及相应阵营的游戏表现和策略做出分析，</w:t>
            </w:r>
            <w:r>
              <w:rPr>
                <w:rFonts w:ascii="Times New Roman" w:hAnsi="Times New Roman" w:cs="Times New Roman"/>
              </w:rPr>
              <w:t>包括玩家在不同阶段的发言内容、投票行为、阵营身份、关键策略选择以及对局结果等信息</w:t>
            </w:r>
            <w:r>
              <w:rPr>
                <w:rFonts w:hint="eastAsia" w:ascii="Times New Roman" w:hAnsi="Times New Roman" w:cs="Times New Roman"/>
              </w:rPr>
              <w:t>，并给出一定的策略改进建议。在功能改进过程中，小组重点优化了复盘内容的结构，</w:t>
            </w:r>
            <w:r>
              <w:rPr>
                <w:rFonts w:ascii="Times New Roman" w:hAnsi="Times New Roman" w:cs="Times New Roman"/>
              </w:rPr>
              <w:t>使其不再简单展示游戏日志，而是进一步围绕“玩家行为分析”和“策略建议”展开</w:t>
            </w:r>
            <w:r>
              <w:rPr>
                <w:rFonts w:hint="eastAsia" w:ascii="Times New Roman" w:hAnsi="Times New Roman" w:cs="Times New Roman"/>
              </w:rPr>
              <w:t>，以增强AI辅助分析功能的深度。</w:t>
            </w:r>
          </w:p>
          <w:p w14:paraId="0045BA13">
            <w:pPr>
              <w:pStyle w:val="11"/>
              <w:numPr>
                <w:ilvl w:val="0"/>
                <w:numId w:val="1"/>
              </w:numPr>
              <w:ind w:firstLineChars="0"/>
              <w:textAlignment w:val="top"/>
              <w:rPr>
                <w:rFonts w:ascii="Times New Roman" w:hAnsi="Times New Roman" w:cs="Times New Roman"/>
              </w:rPr>
            </w:pPr>
            <w:r>
              <w:rPr>
                <w:rFonts w:hint="eastAsia" w:ascii="Times New Roman" w:hAnsi="Times New Roman" w:cs="Times New Roman"/>
              </w:rPr>
              <w:t>前后端连接与接口联调：小组成员本周继续推进前后端联调工作，目前前端页面已能接入后端提供的大部分游戏内容。</w:t>
            </w:r>
          </w:p>
          <w:p w14:paraId="55FDC39E">
            <w:pPr>
              <w:textAlignment w:val="top"/>
              <w:rPr>
                <w:rFonts w:ascii="Times New Roman" w:hAnsi="Times New Roman" w:cs="Times New Roman"/>
              </w:rPr>
            </w:pPr>
            <w:r>
              <w:rPr>
                <w:rFonts w:ascii="Times New Roman" w:hAnsi="Times New Roman" w:eastAsia="宋体" w:cs="Times New Roman"/>
                <w:color w:val="000000"/>
                <w:lang w:bidi="ar"/>
              </w:rPr>
              <w:t>个人工作总结：</w:t>
            </w:r>
          </w:p>
          <w:p w14:paraId="0C0F0780">
            <w:pPr>
              <w:textAlignment w:val="top"/>
              <w:rPr>
                <w:rFonts w:ascii="Times New Roman" w:hAnsi="Times New Roman" w:cs="Times New Roman"/>
              </w:rPr>
            </w:pPr>
            <w:r>
              <w:rPr>
                <w:rFonts w:ascii="Times New Roman" w:hAnsi="Times New Roman" w:cs="Times New Roman"/>
              </w:rPr>
              <w:t>本·</w:t>
            </w:r>
            <w:r>
              <w:rPr>
                <w:rFonts w:hint="eastAsia" w:ascii="Times New Roman" w:hAnsi="Times New Roman" w:cs="Times New Roman"/>
                <w:lang w:val="en-US" w:eastAsia="zh-CN"/>
              </w:rPr>
              <w:t>周我主要</w:t>
            </w:r>
            <w:r>
              <w:rPr>
                <w:rFonts w:hint="default" w:ascii="Times New Roman" w:hAnsi="Times New Roman" w:cs="Times New Roman"/>
              </w:rPr>
              <w:t>负责 ASR（语音识别）与 TTS（语音合成）模块的持续开发与内部联调。完成流式识别时延、网络丢包、延迟等关键指标测试，验证语音链路稳定性。配合小组完成语音模块与后端逻辑的对接调试，保障流式处理正常运行。</w:t>
            </w:r>
          </w:p>
        </w:tc>
      </w:tr>
      <w:tr w14:paraId="7427F14B">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1B7B28">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22322D04">
            <w:pPr>
              <w:rPr>
                <w:rFonts w:ascii="宋体" w:hAnsi="宋体" w:eastAsia="宋体" w:cs="宋体"/>
                <w:color w:val="000000"/>
              </w:rPr>
            </w:pPr>
          </w:p>
        </w:tc>
      </w:tr>
      <w:tr w14:paraId="467514C2">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21B23">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noWrap/>
          </w:tcPr>
          <w:p w14:paraId="36E64483">
            <w:pPr>
              <w:textAlignment w:val="top"/>
              <w:rPr>
                <w:rFonts w:ascii="宋体" w:hAnsi="宋体" w:eastAsia="宋体" w:cs="宋体"/>
                <w:color w:val="000000"/>
                <w:lang w:bidi="ar"/>
              </w:rPr>
            </w:pPr>
            <w:r>
              <w:rPr>
                <w:rFonts w:hint="eastAsia" w:ascii="宋体" w:hAnsi="宋体" w:eastAsia="宋体" w:cs="宋体"/>
                <w:color w:val="000000"/>
                <w:lang w:bidi="ar"/>
              </w:rPr>
              <w:t>现存问题：</w:t>
            </w:r>
          </w:p>
          <w:p w14:paraId="412E850B">
            <w:pPr>
              <w:textAlignment w:val="top"/>
              <w:rPr>
                <w:rFonts w:hint="eastAsia" w:ascii="Times New Roman" w:hAnsi="Times New Roman" w:cs="Times New Roman"/>
              </w:rPr>
            </w:pPr>
            <w:r>
              <w:rPr>
                <w:rFonts w:hint="eastAsia" w:ascii="Times New Roman" w:hAnsi="Times New Roman" w:cs="Times New Roman"/>
              </w:rPr>
              <w:t>流式语音在弱网环境下仍存在短暂卡顿、识别延迟波动问题。</w:t>
            </w:r>
          </w:p>
          <w:p w14:paraId="066E25AE">
            <w:pPr>
              <w:textAlignment w:val="top"/>
              <w:rPr>
                <w:rFonts w:hint="eastAsia" w:ascii="Times New Roman" w:hAnsi="Times New Roman" w:cs="Times New Roman"/>
              </w:rPr>
            </w:pPr>
            <w:r>
              <w:rPr>
                <w:rFonts w:hint="eastAsia" w:ascii="Times New Roman" w:hAnsi="Times New Roman" w:cs="Times New Roman"/>
              </w:rPr>
              <w:t>AI 复盘部分场景下策略建议通用性较强、个性化不足，贴合度有待提升。</w:t>
            </w:r>
          </w:p>
          <w:p w14:paraId="5929E0A1">
            <w:pPr>
              <w:textAlignment w:val="top"/>
              <w:rPr>
                <w:rFonts w:hint="eastAsia" w:ascii="Times New Roman" w:hAnsi="Times New Roman" w:cs="Times New Roman"/>
              </w:rPr>
            </w:pPr>
            <w:r>
              <w:rPr>
                <w:rFonts w:hint="eastAsia" w:ascii="Times New Roman" w:hAnsi="Times New Roman" w:cs="Times New Roman"/>
              </w:rPr>
              <w:t>前后端仍有少量边缘接口未完成联调，部分游戏状态同步偶发异常。</w:t>
            </w:r>
          </w:p>
          <w:p w14:paraId="47637950">
            <w:pPr>
              <w:textAlignment w:val="top"/>
              <w:rPr>
                <w:rFonts w:ascii="Times New Roman" w:hAnsi="Times New Roman" w:cs="Times New Roman"/>
              </w:rPr>
            </w:pPr>
            <w:r>
              <w:rPr>
                <w:rFonts w:hint="eastAsia" w:ascii="Times New Roman" w:hAnsi="Times New Roman" w:cs="Times New Roman"/>
              </w:rPr>
              <w:t>ASR 在多人同时发言、背景音嘈杂时识别准确率有所下降。</w:t>
            </w:r>
            <w:bookmarkStart w:id="1" w:name="_GoBack"/>
            <w:bookmarkEnd w:id="1"/>
          </w:p>
        </w:tc>
      </w:tr>
      <w:tr w14:paraId="018B5219">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94EE8">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noWrap/>
          </w:tcPr>
          <w:p w14:paraId="32E8EC7F">
            <w:pPr>
              <w:rPr>
                <w:rFonts w:ascii="宋体" w:hAnsi="宋体" w:eastAsia="宋体" w:cs="宋体"/>
                <w:color w:val="000000"/>
              </w:rPr>
            </w:pPr>
          </w:p>
        </w:tc>
      </w:tr>
      <w:tr w14:paraId="7CCA7CBF">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0D35F">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1E58E4D9">
            <w:pPr>
              <w:textAlignment w:val="top"/>
              <w:rPr>
                <w:rFonts w:ascii="Times New Roman" w:hAnsi="Times New Roman" w:eastAsia="宋体" w:cs="Times New Roman"/>
                <w:color w:val="000000"/>
                <w:lang w:bidi="ar"/>
              </w:rPr>
            </w:pPr>
            <w:r>
              <w:rPr>
                <w:rFonts w:ascii="Times New Roman" w:hAnsi="Times New Roman" w:eastAsia="宋体" w:cs="Times New Roman"/>
                <w:color w:val="000000"/>
                <w:lang w:bidi="ar"/>
              </w:rPr>
              <w:t>改进建议：</w:t>
            </w:r>
          </w:p>
          <w:p w14:paraId="4C0BE0E5">
            <w:pPr>
              <w:pStyle w:val="11"/>
              <w:numPr>
                <w:ilvl w:val="0"/>
                <w:numId w:val="2"/>
              </w:numPr>
              <w:ind w:left="420" w:leftChars="0" w:hanging="420" w:firstLineChars="0"/>
              <w:textAlignment w:val="top"/>
              <w:rPr>
                <w:rFonts w:hint="eastAsia" w:ascii="Times New Roman" w:hAnsi="Times New Roman" w:cs="Times New Roman"/>
              </w:rPr>
            </w:pPr>
            <w:r>
              <w:rPr>
                <w:rFonts w:hint="eastAsia" w:ascii="Times New Roman" w:hAnsi="Times New Roman" w:cs="Times New Roman"/>
              </w:rPr>
              <w:t>针对流式语音优化弱网抗丢包策略，增加缓冲机制与重传逻辑，降低延迟波动。</w:t>
            </w:r>
          </w:p>
          <w:p w14:paraId="2A888ACA">
            <w:pPr>
              <w:pStyle w:val="11"/>
              <w:numPr>
                <w:ilvl w:val="0"/>
                <w:numId w:val="2"/>
              </w:numPr>
              <w:ind w:left="420" w:leftChars="0" w:hanging="420" w:firstLineChars="0"/>
              <w:textAlignment w:val="top"/>
              <w:rPr>
                <w:rFonts w:hint="eastAsia" w:ascii="Times New Roman" w:hAnsi="Times New Roman" w:cs="Times New Roman"/>
              </w:rPr>
            </w:pPr>
            <w:r>
              <w:rPr>
                <w:rFonts w:hint="eastAsia" w:ascii="Times New Roman" w:hAnsi="Times New Roman" w:cs="Times New Roman"/>
              </w:rPr>
              <w:t>丰富 AI 复盘的行为标签库与策略库，按身份、对局阶段、玩家风格生成更精准建议。</w:t>
            </w:r>
          </w:p>
          <w:p w14:paraId="3160ECB9">
            <w:pPr>
              <w:pStyle w:val="11"/>
              <w:numPr>
                <w:ilvl w:val="0"/>
                <w:numId w:val="2"/>
              </w:numPr>
              <w:ind w:left="420" w:leftChars="0" w:hanging="420" w:firstLineChars="0"/>
              <w:textAlignment w:val="top"/>
              <w:rPr>
                <w:rFonts w:hint="eastAsia" w:ascii="Times New Roman" w:hAnsi="Times New Roman" w:cs="Times New Roman"/>
              </w:rPr>
            </w:pPr>
            <w:r>
              <w:rPr>
                <w:rFonts w:hint="eastAsia" w:ascii="Times New Roman" w:hAnsi="Times New Roman" w:cs="Times New Roman"/>
              </w:rPr>
              <w:t>梳理剩余接口清单，集中完成联调与异常修复，统一游戏状态同步规则。</w:t>
            </w:r>
          </w:p>
          <w:p w14:paraId="37F78AFA">
            <w:pPr>
              <w:pStyle w:val="11"/>
              <w:numPr>
                <w:ilvl w:val="0"/>
                <w:numId w:val="2"/>
              </w:numPr>
              <w:ind w:left="420" w:leftChars="0" w:hanging="420" w:firstLineChars="0"/>
              <w:textAlignment w:val="top"/>
              <w:rPr>
                <w:rFonts w:ascii="Times New Roman" w:hAnsi="Times New Roman" w:cs="Times New Roman"/>
              </w:rPr>
            </w:pPr>
            <w:r>
              <w:rPr>
                <w:rFonts w:hint="eastAsia" w:ascii="Times New Roman" w:hAnsi="Times New Roman" w:cs="Times New Roman"/>
              </w:rPr>
              <w:t>优化 ASR 前置降噪与人声增强处理，提升多人、嘈杂场景下的识别精度</w:t>
            </w:r>
          </w:p>
        </w:tc>
      </w:tr>
      <w:tr w14:paraId="2EAA2B15">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3A964">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04F8B27D">
            <w:pPr>
              <w:rPr>
                <w:rFonts w:ascii="宋体" w:hAnsi="宋体" w:eastAsia="宋体" w:cs="宋体"/>
                <w:color w:val="000000"/>
              </w:rPr>
            </w:pPr>
          </w:p>
        </w:tc>
      </w:tr>
      <w:tr w14:paraId="5536E98D">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3FC6B">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83AE12A">
            <w:pPr>
              <w:rPr>
                <w:rFonts w:ascii="宋体" w:hAnsi="宋体" w:eastAsia="宋体" w:cs="宋体"/>
                <w:color w:val="000000"/>
              </w:rPr>
            </w:pPr>
          </w:p>
        </w:tc>
      </w:tr>
      <w:tr w14:paraId="0D7739CC">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E5CF8">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68FCEE5">
            <w:pPr>
              <w:rPr>
                <w:rFonts w:ascii="宋体" w:hAnsi="宋体" w:eastAsia="宋体" w:cs="宋体"/>
                <w:color w:val="000000"/>
              </w:rPr>
            </w:pPr>
          </w:p>
        </w:tc>
      </w:tr>
      <w:tr w14:paraId="4C581105">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4E46E">
            <w:pPr>
              <w:jc w:val="center"/>
              <w:textAlignment w:val="center"/>
              <w:rPr>
                <w:rFonts w:ascii="宋体" w:hAnsi="宋体" w:eastAsia="宋体" w:cs="宋体"/>
                <w:color w:val="000000"/>
              </w:rPr>
            </w:pPr>
            <w:r>
              <w:rPr>
                <w:rFonts w:hint="eastAsia" w:ascii="宋体" w:hAnsi="宋体" w:eastAsia="宋体" w:cs="宋体"/>
                <w:color w:val="000000"/>
                <w:lang w:bidi="ar"/>
              </w:rPr>
              <w:t>工作计划</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0FADBCC3">
            <w:pPr>
              <w:textAlignment w:val="top"/>
              <w:rPr>
                <w:rFonts w:ascii="宋体" w:hAnsi="宋体" w:eastAsia="宋体" w:cs="宋体"/>
                <w:color w:val="000000"/>
                <w:lang w:bidi="ar"/>
              </w:rPr>
            </w:pPr>
            <w:r>
              <w:rPr>
                <w:rFonts w:hint="eastAsia" w:ascii="宋体" w:hAnsi="宋体" w:eastAsia="宋体" w:cs="宋体"/>
                <w:color w:val="000000"/>
                <w:lang w:bidi="ar"/>
              </w:rPr>
              <w:t>内容：</w:t>
            </w:r>
          </w:p>
          <w:p w14:paraId="3ECAC707">
            <w:pPr>
              <w:textAlignment w:val="top"/>
              <w:rPr>
                <w:rFonts w:hint="eastAsia"/>
              </w:rPr>
            </w:pPr>
            <w:r>
              <w:rPr>
                <w:rFonts w:hint="eastAsia"/>
              </w:rPr>
              <w:t>快速完成整体游戏的前后端联调，从开发阶段进入到最终的测试阶段，并撰写测试报告。</w:t>
            </w:r>
          </w:p>
        </w:tc>
      </w:tr>
      <w:tr w14:paraId="0B7E6708">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424CD">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D1D3872">
            <w:pPr>
              <w:rPr>
                <w:rFonts w:ascii="宋体" w:hAnsi="宋体" w:eastAsia="宋体" w:cs="宋体"/>
                <w:color w:val="000000"/>
              </w:rPr>
            </w:pPr>
          </w:p>
        </w:tc>
      </w:tr>
      <w:tr w14:paraId="241C96EF">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34FCE">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86E02BE">
            <w:pPr>
              <w:rPr>
                <w:rFonts w:ascii="宋体" w:hAnsi="宋体" w:eastAsia="宋体" w:cs="宋体"/>
                <w:color w:val="000000"/>
              </w:rPr>
            </w:pPr>
          </w:p>
        </w:tc>
      </w:tr>
      <w:tr w14:paraId="16B764BA">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E31437">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0FBA0221">
            <w:pPr>
              <w:rPr>
                <w:rFonts w:ascii="宋体" w:hAnsi="宋体" w:eastAsia="宋体" w:cs="宋体"/>
                <w:color w:val="000000"/>
              </w:rPr>
            </w:pPr>
          </w:p>
        </w:tc>
      </w:tr>
      <w:tr w14:paraId="65FA06BC">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7A454">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2133F15E">
            <w:pPr>
              <w:rPr>
                <w:rFonts w:ascii="宋体" w:hAnsi="宋体" w:eastAsia="宋体" w:cs="宋体"/>
                <w:color w:val="000000"/>
              </w:rPr>
            </w:pPr>
          </w:p>
        </w:tc>
      </w:tr>
      <w:tr w14:paraId="361A229C">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74159">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EDC1A5A">
            <w:pPr>
              <w:rPr>
                <w:rFonts w:ascii="宋体" w:hAnsi="宋体" w:eastAsia="宋体" w:cs="宋体"/>
                <w:color w:val="000000"/>
              </w:rPr>
            </w:pPr>
          </w:p>
        </w:tc>
      </w:tr>
    </w:tbl>
    <w:p w14:paraId="1D6B9BE3">
      <w:bookmarkStart w:id="0" w:name="OLE_LINK1"/>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F0CF43"/>
    <w:multiLevelType w:val="multilevel"/>
    <w:tmpl w:val="F1F0CF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0530CB9"/>
    <w:multiLevelType w:val="multilevel"/>
    <w:tmpl w:val="30530C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mZjUyODFhNThlNzU5NDFjYjhkOTk2YjQ0Mzc1MDIifQ=="/>
  </w:docVars>
  <w:rsids>
    <w:rsidRoot w:val="437A79AD"/>
    <w:rsid w:val="00012FBA"/>
    <w:rsid w:val="00032993"/>
    <w:rsid w:val="000603C6"/>
    <w:rsid w:val="00110E20"/>
    <w:rsid w:val="00114822"/>
    <w:rsid w:val="001355B0"/>
    <w:rsid w:val="00173553"/>
    <w:rsid w:val="001823E0"/>
    <w:rsid w:val="001E4183"/>
    <w:rsid w:val="00235824"/>
    <w:rsid w:val="00276E9E"/>
    <w:rsid w:val="00300F98"/>
    <w:rsid w:val="003439E7"/>
    <w:rsid w:val="00375F9D"/>
    <w:rsid w:val="003A1ACD"/>
    <w:rsid w:val="003E2C95"/>
    <w:rsid w:val="00443541"/>
    <w:rsid w:val="004A06CB"/>
    <w:rsid w:val="00524C27"/>
    <w:rsid w:val="00533D01"/>
    <w:rsid w:val="00567770"/>
    <w:rsid w:val="005B173B"/>
    <w:rsid w:val="005C4C0D"/>
    <w:rsid w:val="005F16EA"/>
    <w:rsid w:val="00723E99"/>
    <w:rsid w:val="00763033"/>
    <w:rsid w:val="007C29DE"/>
    <w:rsid w:val="007E1DFF"/>
    <w:rsid w:val="00846B2B"/>
    <w:rsid w:val="00866DAE"/>
    <w:rsid w:val="0086794D"/>
    <w:rsid w:val="008842D2"/>
    <w:rsid w:val="008A65EF"/>
    <w:rsid w:val="008B570A"/>
    <w:rsid w:val="008C42C2"/>
    <w:rsid w:val="009233F0"/>
    <w:rsid w:val="00951CEB"/>
    <w:rsid w:val="009A07ED"/>
    <w:rsid w:val="00A46FA4"/>
    <w:rsid w:val="00A7197A"/>
    <w:rsid w:val="00A917A8"/>
    <w:rsid w:val="00AC1AB2"/>
    <w:rsid w:val="00B5521B"/>
    <w:rsid w:val="00B977DB"/>
    <w:rsid w:val="00BB0CAE"/>
    <w:rsid w:val="00C226C5"/>
    <w:rsid w:val="00C34AD5"/>
    <w:rsid w:val="00C86830"/>
    <w:rsid w:val="00CF196D"/>
    <w:rsid w:val="00CF5816"/>
    <w:rsid w:val="00D60082"/>
    <w:rsid w:val="00D73CCD"/>
    <w:rsid w:val="00DB7FF7"/>
    <w:rsid w:val="00E35DBF"/>
    <w:rsid w:val="00ED405E"/>
    <w:rsid w:val="00F46F4C"/>
    <w:rsid w:val="00F86B18"/>
    <w:rsid w:val="00FB07A6"/>
    <w:rsid w:val="00FC0BA1"/>
    <w:rsid w:val="00FE3EB8"/>
    <w:rsid w:val="00FF3B2F"/>
    <w:rsid w:val="14CE28DE"/>
    <w:rsid w:val="3EF73F37"/>
    <w:rsid w:val="437A79AD"/>
    <w:rsid w:val="5C000628"/>
    <w:rsid w:val="7A77A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3"/>
    <w:uiPriority w:val="0"/>
    <w:pPr>
      <w:tabs>
        <w:tab w:val="center" w:pos="4153"/>
        <w:tab w:val="right" w:pos="8306"/>
      </w:tabs>
      <w:snapToGrid w:val="0"/>
      <w:spacing w:line="240" w:lineRule="auto"/>
    </w:pPr>
    <w:rPr>
      <w:sz w:val="18"/>
      <w:szCs w:val="18"/>
    </w:rPr>
  </w:style>
  <w:style w:type="paragraph" w:styleId="3">
    <w:name w:val="header"/>
    <w:basedOn w:val="1"/>
    <w:link w:val="12"/>
    <w:uiPriority w:val="0"/>
    <w:pPr>
      <w:pBdr>
        <w:bottom w:val="single" w:color="auto" w:sz="6" w:space="1"/>
      </w:pBdr>
      <w:tabs>
        <w:tab w:val="center" w:pos="4153"/>
        <w:tab w:val="right" w:pos="8306"/>
      </w:tabs>
      <w:snapToGrid w:val="0"/>
      <w:spacing w:line="240" w:lineRule="auto"/>
      <w:jc w:val="center"/>
    </w:pPr>
    <w:rPr>
      <w:sz w:val="18"/>
      <w:szCs w:val="18"/>
    </w:rPr>
  </w:style>
  <w:style w:type="character" w:styleId="6">
    <w:name w:val="Strong"/>
    <w:basedOn w:val="5"/>
    <w:qFormat/>
    <w:uiPriority w:val="0"/>
    <w:rPr>
      <w:b/>
    </w:rPr>
  </w:style>
  <w:style w:type="paragraph" w:customStyle="1" w:styleId="7">
    <w:name w:val="代码"/>
    <w:basedOn w:val="1"/>
    <w:link w:val="8"/>
    <w:qFormat/>
    <w:uiPriority w:val="0"/>
    <w:rPr>
      <w:sz w:val="21"/>
      <w:szCs w:val="20"/>
    </w:rPr>
  </w:style>
  <w:style w:type="character" w:customStyle="1" w:styleId="8">
    <w:name w:val="代码 字符"/>
    <w:basedOn w:val="9"/>
    <w:link w:val="7"/>
    <w:qFormat/>
    <w:uiPriority w:val="0"/>
    <w:rPr>
      <w:rFonts w:asciiTheme="minorHAnsi" w:hAnsiTheme="minorHAnsi" w:eastAsiaTheme="minorEastAsia"/>
      <w:sz w:val="21"/>
      <w:szCs w:val="20"/>
      <w:shd w:val="clear" w:color="auto" w:fill="D9D9D9"/>
    </w:rPr>
  </w:style>
  <w:style w:type="character" w:customStyle="1" w:styleId="9">
    <w:name w:val="coder Char"/>
    <w:basedOn w:val="5"/>
    <w:link w:val="10"/>
    <w:qFormat/>
    <w:uiPriority w:val="0"/>
    <w:rPr>
      <w:sz w:val="18"/>
      <w:shd w:val="clear" w:color="auto" w:fill="D9D9D9"/>
    </w:rPr>
  </w:style>
  <w:style w:type="paragraph" w:customStyle="1" w:styleId="10">
    <w:name w:val="coder"/>
    <w:basedOn w:val="1"/>
    <w:link w:val="9"/>
    <w:qFormat/>
    <w:uiPriority w:val="0"/>
    <w:pPr>
      <w:pBdr>
        <w:top w:val="dashSmallGap" w:color="auto" w:sz="4" w:space="1"/>
        <w:left w:val="dashSmallGap" w:color="auto" w:sz="4" w:space="4"/>
        <w:bottom w:val="dashSmallGap" w:color="auto" w:sz="4" w:space="1"/>
        <w:right w:val="dashSmallGap" w:color="auto" w:sz="4" w:space="4"/>
      </w:pBdr>
      <w:shd w:val="clear" w:color="auto" w:fill="D9D9D9"/>
    </w:pPr>
    <w:rPr>
      <w:sz w:val="18"/>
      <w:szCs w:val="20"/>
    </w:rPr>
  </w:style>
  <w:style w:type="paragraph" w:styleId="11">
    <w:name w:val="List Paragraph"/>
    <w:basedOn w:val="1"/>
    <w:unhideWhenUsed/>
    <w:uiPriority w:val="99"/>
    <w:pPr>
      <w:ind w:firstLine="420" w:firstLineChars="200"/>
    </w:pPr>
  </w:style>
  <w:style w:type="character" w:customStyle="1" w:styleId="12">
    <w:name w:val="页眉 字符"/>
    <w:basedOn w:val="5"/>
    <w:link w:val="3"/>
    <w:uiPriority w:val="0"/>
    <w:rPr>
      <w:rFonts w:asciiTheme="minorHAnsi" w:hAnsiTheme="minorHAnsi" w:eastAsiaTheme="minorEastAsia" w:cstheme="minorBidi"/>
      <w:sz w:val="18"/>
      <w:szCs w:val="18"/>
    </w:rPr>
  </w:style>
  <w:style w:type="character" w:customStyle="1" w:styleId="13">
    <w:name w:val="页脚 字符"/>
    <w:basedOn w:val="5"/>
    <w:link w:val="2"/>
    <w:uiPriority w:val="0"/>
    <w:rPr>
      <w:rFonts w:asciiTheme="minorHAnsi" w:hAnsiTheme="minorHAnsi" w:eastAsiaTheme="minorEastAsia" w:cstheme="minorBid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F03D5A2-0BEC-473E-882F-490C4036C53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174</Words>
  <Characters>995</Characters>
  <Lines>8</Lines>
  <Paragraphs>2</Paragraphs>
  <TotalTime>4</TotalTime>
  <ScaleCrop>false</ScaleCrop>
  <LinksUpToDate>false</LinksUpToDate>
  <CharactersWithSpaces>1167</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2023-02-21T20:12:00Z</dcterms:created>
  <dc:creator>假如我</dc:creator>
  <cp:lastModifiedBy>tony</cp:lastModifiedBy>
  <dcterms:modified xsi:type="dcterms:W3CDTF">2026-05-20T08:27:14Z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5F58A8E135DBC9985BFF0C6AD270764D_43</vt:lpwstr>
  </property>
  <property fmtid="{D5CDD505-2E9C-101B-9397-08002B2CF9AE}" pid="4" name="GrammarlyDocumentId">
    <vt:lpwstr>cf07466913ce92f694eb0fd762c009819c6a922a35273a52976e2e7f78453ab3</vt:lpwstr>
  </property>
</Properties>
</file>