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3C762">
      <w:pPr>
        <w:numPr>
          <w:ilvl w:val="0"/>
          <w:numId w:val="1"/>
        </w:numPr>
        <w:rPr>
          <w:rFonts w:hint="default"/>
          <w:b/>
          <w:bCs/>
          <w:sz w:val="44"/>
          <w:szCs w:val="52"/>
        </w:rPr>
      </w:pPr>
      <w:r>
        <w:rPr>
          <w:rFonts w:hint="default"/>
          <w:b/>
          <w:bCs/>
          <w:sz w:val="44"/>
          <w:szCs w:val="52"/>
        </w:rPr>
        <w:t>其他设计</w:t>
      </w:r>
    </w:p>
    <w:p w14:paraId="52AA4BB4">
      <w:pPr>
        <w:numPr>
          <w:ilvl w:val="0"/>
          <w:numId w:val="0"/>
        </w:numPr>
        <w:rPr>
          <w:rFonts w:hint="default"/>
          <w:b/>
          <w:bCs/>
          <w:sz w:val="36"/>
          <w:szCs w:val="44"/>
        </w:rPr>
      </w:pPr>
    </w:p>
    <w:p w14:paraId="5AB0ACF2">
      <w:pPr>
        <w:rPr>
          <w:rFonts w:hint="default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</w:t>
      </w:r>
      <w:r>
        <w:rPr>
          <w:rFonts w:hint="default"/>
          <w:b/>
          <w:bCs/>
          <w:sz w:val="28"/>
          <w:szCs w:val="36"/>
        </w:rPr>
        <w:t>.1 可靠性设计</w:t>
      </w:r>
    </w:p>
    <w:p w14:paraId="6E3F4CC6">
      <w:pPr>
        <w:rPr>
          <w:rFonts w:hint="default"/>
          <w:b/>
          <w:bCs/>
          <w:sz w:val="24"/>
          <w:szCs w:val="32"/>
        </w:rPr>
      </w:pPr>
    </w:p>
    <w:p w14:paraId="5E4C8864">
      <w:r>
        <w:rPr>
          <w:rFonts w:hint="default"/>
          <w:b/>
          <w:bCs/>
        </w:rPr>
        <w:t>无状态后端服务：</w:t>
      </w:r>
      <w:r>
        <w:rPr>
          <w:rFonts w:hint="default"/>
        </w:rPr>
        <w:t>Web后端（FastAPI）采用无状态架构，用户会话状态通过 Session ID 存储在客户端 Cookie 和服务器端 Redis 或内存数据库中。这使得后端服务可以水平扩展，单点故障不会导致整个会话数据丢失，提升系统容错能力。</w:t>
      </w:r>
    </w:p>
    <w:p w14:paraId="31F47ECF">
      <w:r>
        <w:rPr>
          <w:rFonts w:hint="default"/>
          <w:b/>
          <w:bCs/>
        </w:rPr>
        <w:t>数据库事务与 ACID 保证：</w:t>
      </w:r>
      <w:r>
        <w:rPr>
          <w:rFonts w:hint="default"/>
        </w:rPr>
        <w:t>遵循 SRS-R-03 要求，所有涉及多表写操作的关键业务逻辑（如用户注册创建默认角色关联、生成资源同时写入日志）均使用 SQLAlchemy 的 AsyncSession 事务管理。通过 begin()、commit() 和 rollback() 机制，确保数据操作的原子性和一致性。若 LLM 调用或文件写入失败，可触发数据库回滚，防止脏数据产生。</w:t>
      </w:r>
    </w:p>
    <w:p w14:paraId="66A18B16">
      <w:r>
        <w:rPr>
          <w:rFonts w:hint="default"/>
        </w:rPr>
        <w:t>异常处理与降级机制：</w:t>
      </w:r>
    </w:p>
    <w:p w14:paraId="624123D4">
      <w:r>
        <w:rPr>
          <w:rFonts w:hint="default"/>
          <w:b/>
          <w:bCs/>
        </w:rPr>
        <w:t>统一异常拦截：</w:t>
      </w:r>
      <w:r>
        <w:rPr>
          <w:rFonts w:hint="default"/>
        </w:rPr>
        <w:t>利用 FastAPI 的 @app.exception_handler 装饰器全局捕获 HTTPException、ValidationError 及通用 Exception，确保任何未处理异常都会返回统一格式的 JSON 错误响应（包含错误码和友好提示），而非直接暴露堆栈信息，符合 SRS-R-04。</w:t>
      </w:r>
    </w:p>
    <w:p w14:paraId="76973257">
      <w:r>
        <w:rPr>
          <w:rFonts w:hint="default"/>
          <w:b/>
          <w:bCs/>
        </w:rPr>
        <w:t>模型加载失败</w:t>
      </w:r>
      <w:r>
        <w:rPr>
          <w:rFonts w:hint="eastAsia"/>
          <w:b/>
          <w:bCs/>
          <w:lang w:val="en-US" w:eastAsia="zh-CN"/>
        </w:rPr>
        <w:t>服务</w:t>
      </w:r>
      <w:r>
        <w:rPr>
          <w:rFonts w:hint="default"/>
          <w:b/>
          <w:bCs/>
        </w:rPr>
        <w:t>降级：</w:t>
      </w:r>
      <w:r>
        <w:rPr>
          <w:rFonts w:hint="default"/>
        </w:rPr>
        <w:t>针对 SRS-R-05，在 core/llm_manager.py 模块中，模型加载失败时（如显存不足或文件损坏）将捕获异常并记录关键错误日志。此时，系统核心 Web 服务仍可启动，但涉及 LLM 推理的 API 接口将返回特定错误码（如 503 LLM Service Unavailable），并提示管理员检查模型配置，避免因模型问题导致整个平台崩溃。</w:t>
      </w:r>
    </w:p>
    <w:p w14:paraId="7386213D">
      <w:pPr>
        <w:rPr>
          <w:rFonts w:hint="default"/>
        </w:rPr>
      </w:pPr>
      <w:r>
        <w:rPr>
          <w:rFonts w:hint="default"/>
          <w:b/>
          <w:bCs/>
        </w:rPr>
        <w:t>关键组件健康检查：</w:t>
      </w:r>
      <w:r>
        <w:rPr>
          <w:rFonts w:hint="default"/>
        </w:rPr>
        <w:t>提供 /health 接口，用于检查数据库连接状态、向量存储连接状态及 LLM 模型加载状态。便于运维监控系统实时感知服务健康状况。</w:t>
      </w:r>
    </w:p>
    <w:p w14:paraId="3EDFF667"/>
    <w:p w14:paraId="2D67D6B4">
      <w:pPr>
        <w:rPr>
          <w:rFonts w:hint="default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</w:t>
      </w:r>
      <w:r>
        <w:rPr>
          <w:rFonts w:hint="default"/>
          <w:b/>
          <w:bCs/>
          <w:sz w:val="28"/>
          <w:szCs w:val="36"/>
        </w:rPr>
        <w:t>.</w:t>
      </w:r>
      <w:r>
        <w:rPr>
          <w:rFonts w:hint="eastAsia"/>
          <w:b/>
          <w:bCs/>
          <w:sz w:val="28"/>
          <w:szCs w:val="36"/>
          <w:lang w:val="en-US" w:eastAsia="zh-CN"/>
        </w:rPr>
        <w:t>2</w:t>
      </w:r>
      <w:r>
        <w:rPr>
          <w:rFonts w:hint="default"/>
          <w:b/>
          <w:bCs/>
          <w:sz w:val="28"/>
          <w:szCs w:val="36"/>
        </w:rPr>
        <w:t xml:space="preserve"> 可维护性设计</w:t>
      </w:r>
    </w:p>
    <w:p w14:paraId="50CD6885">
      <w:pPr>
        <w:rPr>
          <w:rFonts w:hint="default"/>
        </w:rPr>
      </w:pPr>
      <w:r>
        <w:rPr>
          <w:rFonts w:hint="default"/>
        </w:rPr>
        <w:t>遵循 SRS-M 系列规范，保证项目代码清晰、易于调试和交接：</w:t>
      </w:r>
    </w:p>
    <w:p w14:paraId="51D0E2E9"/>
    <w:p w14:paraId="47ACBCEF">
      <w:r>
        <w:rPr>
          <w:rFonts w:hint="default"/>
          <w:b/>
          <w:bCs/>
        </w:rPr>
        <w:t>代码规范与静态检查：</w:t>
      </w:r>
      <w:r>
        <w:rPr>
          <w:rFonts w:hint="default"/>
        </w:rPr>
        <w:t>严格执行后端 PEP 8 规范，前端遵循 Vue 官方风格指南。项目根目录配置 .flake8 和 .eslintrc.js，通过 Git Hooks 在提交前进行代码检查，确保 SRS-M-01 落地。</w:t>
      </w:r>
    </w:p>
    <w:p w14:paraId="6C796599">
      <w:r>
        <w:rPr>
          <w:rFonts w:hint="default"/>
        </w:rPr>
        <w:t>模块化与低耦合架构：严格遵循 SRS-M-02，物理目录结构映射逻辑分层：</w:t>
      </w:r>
    </w:p>
    <w:p w14:paraId="33E857E9">
      <w:r>
        <w:rPr>
          <w:rFonts w:hint="default"/>
        </w:rPr>
        <w:t>core/：存放与业务解耦的 LLM 管理、RAG 管道逻辑。</w:t>
      </w:r>
    </w:p>
    <w:p w14:paraId="58983CF8">
      <w:r>
        <w:rPr>
          <w:rFonts w:hint="default"/>
        </w:rPr>
        <w:t>api/：仅处理路由和请求响应。</w:t>
      </w:r>
    </w:p>
    <w:p w14:paraId="64B12DA4">
      <w:r>
        <w:rPr>
          <w:rFonts w:hint="default"/>
        </w:rPr>
        <w:t>services/：存放具体业务逻辑处理代码，协调 core 与 db 模块。</w:t>
      </w:r>
    </w:p>
    <w:p w14:paraId="2FD9F8A1">
      <w:r>
        <w:rPr>
          <w:rFonts w:hint="default"/>
        </w:rPr>
        <w:t>db/：存放 ORM 模型定义和 CRUD 操作基类。</w:t>
      </w:r>
    </w:p>
    <w:p w14:paraId="4254E270">
      <w:r>
        <w:rPr>
          <w:rFonts w:hint="default"/>
          <w:b/>
          <w:bCs/>
        </w:rPr>
        <w:t>配置集中管理：</w:t>
      </w:r>
      <w:r>
        <w:rPr>
          <w:rFonts w:hint="default"/>
        </w:rPr>
        <w:t>实现 SRS-M-03，所有环境相关变量（数据库 URL、模型路径、Embedding 维度）统一收敛至 config.py，并通过 pydantic-settings 加载环境变量，严禁在代码中硬编码配置。</w:t>
      </w:r>
    </w:p>
    <w:p w14:paraId="5309ACAF">
      <w:r>
        <w:rPr>
          <w:rFonts w:hint="default"/>
          <w:b/>
          <w:bCs/>
        </w:rPr>
        <w:t>日志系统设计：</w:t>
      </w:r>
      <w:r>
        <w:rPr>
          <w:rFonts w:hint="default"/>
        </w:rPr>
        <w:t>实现 SRS-M-04，配置 logging.conf：</w:t>
      </w:r>
    </w:p>
    <w:p w14:paraId="14AE5992">
      <w:r>
        <w:rPr>
          <w:rFonts w:hint="default"/>
          <w:b/>
          <w:bCs/>
        </w:rPr>
        <w:t>多级别输出：</w:t>
      </w:r>
      <w:r>
        <w:rPr>
          <w:rFonts w:hint="default"/>
        </w:rPr>
        <w:t>控制台输出 INFO 以上级别，文件输出 DEBUG 以上级别。</w:t>
      </w:r>
    </w:p>
    <w:p w14:paraId="2E167505">
      <w:r>
        <w:rPr>
          <w:rFonts w:hint="default"/>
          <w:b/>
          <w:bCs/>
        </w:rPr>
        <w:t>日志轮转：</w:t>
      </w:r>
      <w:r>
        <w:rPr>
          <w:rFonts w:hint="default"/>
        </w:rPr>
        <w:t>使用 RotatingFileHandler，单文件限制 10MB，保留 5 个历史文件，防止日志撑爆磁盘。</w:t>
      </w:r>
    </w:p>
    <w:p w14:paraId="07838DE9">
      <w:r>
        <w:rPr>
          <w:rFonts w:hint="default"/>
          <w:b/>
          <w:bCs/>
        </w:rPr>
        <w:t>结构化日志：</w:t>
      </w:r>
      <w:r>
        <w:rPr>
          <w:rFonts w:hint="default"/>
        </w:rPr>
        <w:t>记录关键操作上下文（如 User ID、IP、Request ID），便于后续 ELK 或 Splunk 分析。</w:t>
      </w:r>
    </w:p>
    <w:p w14:paraId="45BDBBDC">
      <w:pPr>
        <w:rPr>
          <w:rFonts w:hint="default"/>
        </w:rPr>
      </w:pPr>
      <w:r>
        <w:rPr>
          <w:rFonts w:hint="default"/>
          <w:b/>
          <w:bCs/>
        </w:rPr>
        <w:t>代码注释：</w:t>
      </w:r>
      <w:r>
        <w:rPr>
          <w:rFonts w:hint="default"/>
        </w:rPr>
        <w:t>关键算法逻辑、RAG 检索策略及复杂的异步调用链需添加清晰注释，确保注释覆盖率不低于 30%（SRS-M-05）。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961"/>
      </w:tblGrid>
      <w:tr w14:paraId="5C825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1EED7F9">
            <w:pPr>
              <w:pStyle w:val="11"/>
            </w:pPr>
            <w:r>
              <w:rPr>
                <w:rFonts w:hint="eastAsia"/>
              </w:rPr>
              <w:t>设计点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2E0289A">
            <w:pPr>
              <w:pStyle w:val="11"/>
            </w:pPr>
            <w:r>
              <w:rPr>
                <w:rFonts w:hint="eastAsia"/>
              </w:rPr>
              <w:t>实现</w:t>
            </w:r>
          </w:p>
        </w:tc>
      </w:tr>
      <w:tr w14:paraId="6A2C3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6FA56D">
            <w:pPr>
              <w:pStyle w:val="11"/>
            </w:pPr>
            <w:r>
              <w:rPr>
                <w:rFonts w:hint="eastAsia"/>
              </w:rPr>
              <w:t>配置集中管理</w:t>
            </w:r>
          </w:p>
        </w:tc>
        <w:tc>
          <w:tcPr>
            <w:tcW w:w="0" w:type="auto"/>
          </w:tcPr>
          <w:p w14:paraId="4929F86D">
            <w:pPr>
              <w:pStyle w:val="11"/>
            </w:pPr>
            <w:r>
              <w:rPr>
                <w:rStyle w:val="13"/>
              </w:rPr>
              <w:t>config.py</w:t>
            </w:r>
            <w:r>
              <w:t xml:space="preserve"> + </w:t>
            </w:r>
            <w:r>
              <w:rPr>
                <w:rFonts w:hint="eastAsia"/>
              </w:rPr>
              <w:t>环境变量</w:t>
            </w:r>
          </w:p>
        </w:tc>
      </w:tr>
      <w:tr w14:paraId="41449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89D333">
            <w:pPr>
              <w:pStyle w:val="11"/>
            </w:pPr>
            <w:r>
              <w:rPr>
                <w:rFonts w:hint="eastAsia"/>
              </w:rPr>
              <w:t>日志系统</w:t>
            </w:r>
          </w:p>
        </w:tc>
        <w:tc>
          <w:tcPr>
            <w:tcW w:w="0" w:type="auto"/>
          </w:tcPr>
          <w:p w14:paraId="48781183">
            <w:pPr>
              <w:pStyle w:val="11"/>
            </w:pPr>
            <w:r>
              <w:t xml:space="preserve">Python logging + </w:t>
            </w:r>
            <w:r>
              <w:rPr>
                <w:rFonts w:hint="eastAsia"/>
              </w:rPr>
              <w:t>控制台调试日志</w:t>
            </w:r>
          </w:p>
        </w:tc>
      </w:tr>
      <w:tr w14:paraId="6FB4B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FEACA6">
            <w:pPr>
              <w:pStyle w:val="11"/>
            </w:pPr>
            <w:r>
              <w:rPr>
                <w:rFonts w:hint="eastAsia"/>
              </w:rPr>
              <w:t>模块化</w:t>
            </w:r>
          </w:p>
        </w:tc>
        <w:tc>
          <w:tcPr>
            <w:tcW w:w="0" w:type="auto"/>
          </w:tcPr>
          <w:p w14:paraId="683260B3">
            <w:pPr>
              <w:pStyle w:val="1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前后端分离，后端按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API、数据库、RAG、模型分层</w:t>
            </w:r>
          </w:p>
        </w:tc>
      </w:tr>
      <w:tr w14:paraId="6C658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1332B2">
            <w:pPr>
              <w:pStyle w:val="11"/>
            </w:pPr>
            <w:r>
              <w:rPr>
                <w:rFonts w:hint="eastAsia"/>
              </w:rPr>
              <w:t>资源可追踪</w:t>
            </w:r>
          </w:p>
        </w:tc>
        <w:tc>
          <w:tcPr>
            <w:tcW w:w="0" w:type="auto"/>
          </w:tcPr>
          <w:p w14:paraId="358C8F63">
            <w:pPr>
              <w:pStyle w:val="1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资源元数据与文件路径映射</w:t>
            </w:r>
          </w:p>
        </w:tc>
      </w:tr>
    </w:tbl>
    <w:p w14:paraId="475814F6">
      <w:pPr>
        <w:rPr>
          <w:rFonts w:hint="default"/>
        </w:rPr>
      </w:pPr>
    </w:p>
    <w:p w14:paraId="1906FC60">
      <w:pPr>
        <w:rPr>
          <w:rFonts w:hint="default"/>
          <w:sz w:val="24"/>
          <w:szCs w:val="32"/>
        </w:rPr>
      </w:pPr>
    </w:p>
    <w:p w14:paraId="605DC61C">
      <w:pPr>
        <w:rPr>
          <w:rFonts w:hint="default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7.3</w:t>
      </w:r>
      <w:r>
        <w:rPr>
          <w:rFonts w:hint="default"/>
          <w:b/>
          <w:bCs/>
          <w:sz w:val="28"/>
          <w:szCs w:val="36"/>
        </w:rPr>
        <w:t xml:space="preserve"> 安全性设计</w:t>
      </w:r>
    </w:p>
    <w:p w14:paraId="5DC02DAC">
      <w:r>
        <w:rPr>
          <w:rFonts w:hint="default"/>
          <w:b/>
          <w:bCs/>
        </w:rPr>
        <w:t>会话安全管理：</w:t>
      </w:r>
      <w:r>
        <w:rPr>
          <w:rFonts w:hint="default"/>
        </w:rPr>
        <w:t>用户登录成功后生成的 Session ID 设置为 HttpOnly 和 Secure（生产环境）属性，防止 XSS 攻击窃取 Cookie。</w:t>
      </w:r>
    </w:p>
    <w:p w14:paraId="2BC5DF6E">
      <w:r>
        <w:rPr>
          <w:rFonts w:hint="default"/>
          <w:b/>
          <w:bCs/>
        </w:rPr>
        <w:t>密码哈希存储：</w:t>
      </w:r>
      <w:r>
        <w:rPr>
          <w:rFonts w:hint="default"/>
        </w:rPr>
        <w:t>使用 passlib[bcrypt] 库对用户密码进行哈希加盐处理，数据库仅存储哈希值。</w:t>
      </w:r>
    </w:p>
    <w:p w14:paraId="1FB3184A">
      <w:pPr>
        <w:rPr>
          <w:rFonts w:hint="default"/>
        </w:rPr>
      </w:pPr>
      <w:r>
        <w:rPr>
          <w:rFonts w:hint="default"/>
          <w:b/>
          <w:bCs/>
        </w:rPr>
        <w:t>输入清洗：</w:t>
      </w:r>
      <w:r>
        <w:rPr>
          <w:rFonts w:hint="default"/>
        </w:rPr>
        <w:t>所有用户输入在用于向量检索或 LLM Prompt 拼接前，均经过 HTML 转义或特殊字符过滤，防止 Prompt Injection 攻击。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526"/>
      </w:tblGrid>
      <w:tr w14:paraId="6EDCC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D474CC">
            <w:pPr>
              <w:pStyle w:val="11"/>
            </w:pPr>
            <w:r>
              <w:rPr>
                <w:rFonts w:hint="eastAsia"/>
              </w:rPr>
              <w:t>安全需求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891725A">
            <w:pPr>
              <w:pStyle w:val="11"/>
            </w:pPr>
            <w:r>
              <w:rPr>
                <w:rFonts w:hint="eastAsia"/>
              </w:rPr>
              <w:t>技术实现</w:t>
            </w:r>
          </w:p>
        </w:tc>
      </w:tr>
      <w:tr w14:paraId="55C94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0C96DB">
            <w:pPr>
              <w:pStyle w:val="11"/>
            </w:pPr>
            <w:r>
              <w:rPr>
                <w:rFonts w:hint="eastAsia"/>
              </w:rPr>
              <w:t>密码保护</w:t>
            </w:r>
          </w:p>
        </w:tc>
        <w:tc>
          <w:tcPr>
            <w:tcW w:w="0" w:type="auto"/>
          </w:tcPr>
          <w:p w14:paraId="4C042341">
            <w:pPr>
              <w:pStyle w:val="11"/>
            </w:pPr>
            <w:r>
              <w:rPr>
                <w:rFonts w:hint="eastAsia"/>
              </w:rPr>
              <w:t>哈希存储</w:t>
            </w:r>
          </w:p>
        </w:tc>
      </w:tr>
      <w:tr w14:paraId="2C9D2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3570ED">
            <w:pPr>
              <w:pStyle w:val="11"/>
            </w:pPr>
            <w:r>
              <w:rPr>
                <w:rFonts w:hint="eastAsia"/>
              </w:rPr>
              <w:t>传输加密</w:t>
            </w:r>
          </w:p>
        </w:tc>
        <w:tc>
          <w:tcPr>
            <w:tcW w:w="0" w:type="auto"/>
          </w:tcPr>
          <w:p w14:paraId="6B3A09F7">
            <w:pPr>
              <w:pStyle w:val="11"/>
            </w:pPr>
            <w:r>
              <w:t>HTTPS/TLS</w:t>
            </w:r>
          </w:p>
        </w:tc>
      </w:tr>
      <w:tr w14:paraId="4B4F1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2FC22F">
            <w:pPr>
              <w:pStyle w:val="11"/>
            </w:pPr>
            <w:r>
              <w:rPr>
                <w:rFonts w:hint="eastAsia"/>
              </w:rPr>
              <w:t>访问控制</w:t>
            </w:r>
          </w:p>
        </w:tc>
        <w:tc>
          <w:tcPr>
            <w:tcW w:w="0" w:type="auto"/>
          </w:tcPr>
          <w:p w14:paraId="57394669">
            <w:pPr>
              <w:pStyle w:val="1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基于角色的接口权限校验</w:t>
            </w:r>
          </w:p>
        </w:tc>
      </w:tr>
      <w:tr w14:paraId="3627D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97925B">
            <w:pPr>
              <w:pStyle w:val="11"/>
            </w:pPr>
            <w:r>
              <w:rPr>
                <w:rFonts w:hint="eastAsia"/>
              </w:rPr>
              <w:t>输入校验</w:t>
            </w:r>
          </w:p>
        </w:tc>
        <w:tc>
          <w:tcPr>
            <w:tcW w:w="0" w:type="auto"/>
          </w:tcPr>
          <w:p w14:paraId="58D673DD">
            <w:pPr>
              <w:pStyle w:val="11"/>
            </w:pPr>
            <w:r>
              <w:t xml:space="preserve">Pydantic </w:t>
            </w:r>
            <w:r>
              <w:rPr>
                <w:rFonts w:hint="eastAsia"/>
              </w:rPr>
              <w:t>模型验证</w:t>
            </w:r>
          </w:p>
        </w:tc>
      </w:tr>
      <w:tr w14:paraId="43E94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99353C">
            <w:pPr>
              <w:pStyle w:val="11"/>
            </w:pPr>
            <w:r>
              <w:rPr>
                <w:rFonts w:hint="eastAsia"/>
              </w:rPr>
              <w:t>防注入</w:t>
            </w:r>
          </w:p>
        </w:tc>
        <w:tc>
          <w:tcPr>
            <w:tcW w:w="0" w:type="auto"/>
          </w:tcPr>
          <w:p w14:paraId="5D9BFA97">
            <w:pPr>
              <w:pStyle w:val="11"/>
            </w:pPr>
            <w:r>
              <w:t xml:space="preserve">SQLAlchemy ORM </w:t>
            </w:r>
            <w:r>
              <w:rPr>
                <w:rFonts w:hint="eastAsia"/>
              </w:rPr>
              <w:t>参数化</w:t>
            </w:r>
          </w:p>
        </w:tc>
      </w:tr>
    </w:tbl>
    <w:p w14:paraId="436D23A6">
      <w:pPr>
        <w:rPr>
          <w:rFonts w:hint="default"/>
        </w:rPr>
      </w:pPr>
    </w:p>
    <w:p w14:paraId="4C172F0B">
      <w:pPr>
        <w:rPr>
          <w:rFonts w:hint="default"/>
        </w:rPr>
      </w:pPr>
    </w:p>
    <w:p w14:paraId="40879688"/>
    <w:p w14:paraId="0A4E6CB5">
      <w:pPr>
        <w:rPr>
          <w:rFonts w:hint="default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</w:t>
      </w:r>
      <w:r>
        <w:rPr>
          <w:rFonts w:hint="default"/>
          <w:b/>
          <w:bCs/>
          <w:sz w:val="28"/>
          <w:szCs w:val="36"/>
        </w:rPr>
        <w:t>.4 可扩展性设计</w:t>
      </w:r>
    </w:p>
    <w:p w14:paraId="28D4CD2E">
      <w:pPr>
        <w:rPr>
          <w:rFonts w:hint="default"/>
        </w:rPr>
      </w:pPr>
      <w:r>
        <w:rPr>
          <w:rFonts w:hint="default"/>
        </w:rPr>
        <w:t>为应对未来业务增长和技术迭代，系统在以下层面预留扩展空间，对应 SRS-E 需求：</w:t>
      </w:r>
    </w:p>
    <w:p w14:paraId="67AAE9B5">
      <w:r>
        <w:rPr>
          <w:rFonts w:hint="default"/>
          <w:b/>
          <w:bCs/>
        </w:rPr>
        <w:t>策略模式下的组件替换：</w:t>
      </w:r>
      <w:r>
        <w:rPr>
          <w:rFonts w:hint="default"/>
        </w:rPr>
        <w:t>针对 SRS-E-01 至 SRS-E-03，核心组件设计采用依赖注入和接口抽象：</w:t>
      </w:r>
    </w:p>
    <w:p w14:paraId="380B070B">
      <w:r>
        <w:rPr>
          <w:rFonts w:hint="default"/>
        </w:rPr>
        <w:t>Embedding 接口：rag_pipeline/embeddings.py 定义抽象基类 BaseEmbedding，当前实现 HuggingFaceEmbedding。未来如需替换 BGE 模型，仅需新增 BGEEmbedding 实现类并修改 config.py 中的导入字符串即可。</w:t>
      </w:r>
    </w:p>
    <w:p w14:paraId="1F15C804">
      <w:r>
        <w:rPr>
          <w:rFonts w:hint="default"/>
          <w:b/>
          <w:bCs/>
        </w:rPr>
        <w:t>向量库接口：</w:t>
      </w:r>
      <w:r>
        <w:rPr>
          <w:rFonts w:hint="default"/>
        </w:rPr>
        <w:t>rag_pipeline/vector_store_manager.py 封装底层操作，对外暴露 search() 和 add() 方法。若需从 ChromaDB 迁移至 Milvus，仅需修改 VectorStoreManager 内部实现，上层业务调用方无感知。</w:t>
      </w:r>
    </w:p>
    <w:p w14:paraId="2DC4268C">
      <w:r>
        <w:rPr>
          <w:rFonts w:hint="default"/>
          <w:b/>
          <w:bCs/>
        </w:rPr>
        <w:t>API 版本管理：</w:t>
      </w:r>
      <w:r>
        <w:rPr>
          <w:rFonts w:hint="default"/>
        </w:rPr>
        <w:t>实现 SRS-E-04，URL 路径前缀包含版本号，如 /api/v1/teacher/lesson_plan。当未来接口发生破坏性变更时，可新增 /api/v2/ 路径，平滑过渡新旧版本客户端。</w:t>
      </w:r>
    </w:p>
    <w:p w14:paraId="36287C30">
      <w:r>
        <w:rPr>
          <w:rFonts w:hint="default"/>
        </w:rPr>
        <w:t>插件化功能扩展：预留管理员后台的“功能开关”配置表，未来新增如“语音输入”、“多模态识别”等功能时，可在不修改核心鉴权逻辑的前提下动态启用新模块。</w:t>
      </w:r>
    </w:p>
    <w:p w14:paraId="54641794">
      <w:pPr>
        <w:rPr>
          <w:sz w:val="22"/>
          <w:szCs w:val="28"/>
        </w:rPr>
      </w:pPr>
    </w:p>
    <w:p w14:paraId="1AE350C8">
      <w:pPr>
        <w:rPr>
          <w:rFonts w:hint="default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</w:t>
      </w:r>
      <w:r>
        <w:rPr>
          <w:rFonts w:hint="default"/>
          <w:b/>
          <w:bCs/>
          <w:sz w:val="28"/>
          <w:szCs w:val="36"/>
        </w:rPr>
        <w:t>.5 可移植性设计</w:t>
      </w:r>
    </w:p>
    <w:p w14:paraId="56AA7C25">
      <w:pPr>
        <w:rPr>
          <w:rFonts w:hint="default"/>
        </w:rPr>
      </w:pPr>
      <w:r>
        <w:rPr>
          <w:rFonts w:hint="default"/>
        </w:rPr>
        <w:t>确保项目在不同操作系统和运行环境中无缝迁移，满足 SRS-T 系列需求：</w:t>
      </w:r>
    </w:p>
    <w:p w14:paraId="4F519A81">
      <w:r>
        <w:rPr>
          <w:rFonts w:hint="default"/>
          <w:b/>
          <w:bCs/>
        </w:rPr>
        <w:t>跨平台路径处理：</w:t>
      </w:r>
      <w:r>
        <w:rPr>
          <w:rFonts w:hint="default"/>
        </w:rPr>
        <w:t>在代码中使用 os.path.join 或 pathlib.Path 处理文件系统路径，避免 Windows 与 Linux 路径分隔符差异导致的错误，满足 SRS-T-01。</w:t>
      </w:r>
    </w:p>
    <w:p w14:paraId="65E124C2">
      <w:r>
        <w:rPr>
          <w:rFonts w:hint="default"/>
          <w:b/>
          <w:bCs/>
        </w:rPr>
        <w:t>Docker 容器化部署：</w:t>
      </w:r>
      <w:r>
        <w:rPr>
          <w:rFonts w:hint="default"/>
        </w:rPr>
        <w:t>提供根目录下的 Dockerfile 和 docker-compose.yml 编排文件，满足 SRS-T-02。</w:t>
      </w:r>
    </w:p>
    <w:p w14:paraId="65306EED">
      <w:r>
        <w:rPr>
          <w:rFonts w:hint="default"/>
          <w:b/>
          <w:bCs/>
        </w:rPr>
        <w:t>Dockerfile：</w:t>
      </w:r>
      <w:r>
        <w:rPr>
          <w:rFonts w:hint="default"/>
        </w:rPr>
        <w:t>基于 python:3.10-slim，包含依赖安装、模型下载脚本及启动命令。</w:t>
      </w:r>
    </w:p>
    <w:p w14:paraId="3CE04191">
      <w:r>
        <w:rPr>
          <w:rFonts w:hint="default"/>
        </w:rPr>
        <w:t>docker-compose.yml：定义 mysql、chromadb、backend 和 frontend 服务，通过卷映射持久化数据和模型，屏蔽底层环境差异，实现一键部署。</w:t>
      </w:r>
    </w:p>
    <w:p w14:paraId="2ED93D16">
      <w:r>
        <w:rPr>
          <w:rFonts w:hint="default"/>
        </w:rPr>
        <w:t>数据库兼容性：SQLAlchemy ORM 层屏蔽了底层 SQL 方言差异。设计表结构时仅使用标准 SQL 类型，避免使用 MySQL 特有语法（如特定引擎），确保可平滑迁移至 PostgreSQL 或 SQLite（开发测试用），同时满足 SRS-T-03 对 MySQL 8.0+ 的支持。</w:t>
      </w:r>
    </w:p>
    <w:p w14:paraId="5A22C855">
      <w:r>
        <w:rPr>
          <w:rFonts w:hint="default"/>
        </w:rPr>
        <w:t>浏览器兼容策略：前端构建使用 Vite，配置 @vitejs/plugin-legacy 插件，自动为不支持现代 ES6 特性的旧版浏览器生成 Polyfill，确保对 Chrome、Firefox、Edge 最新稳定版本的完美支持，满足 SRS-T-04。</w:t>
      </w:r>
    </w:p>
    <w:p w14:paraId="4E7E0F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5CB118"/>
    <w:multiLevelType w:val="singleLevel"/>
    <w:tmpl w:val="D85CB118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63414"/>
    <w:rsid w:val="1C823FD5"/>
    <w:rsid w:val="35963414"/>
    <w:rsid w:val="78CF42A0"/>
    <w:rsid w:val="7EE6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link w:val="14"/>
    <w:qFormat/>
    <w:uiPriority w:val="0"/>
    <w:pPr>
      <w:spacing w:after="120"/>
    </w:pPr>
    <w:rPr>
      <w:i/>
    </w:r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Compact"/>
    <w:basedOn w:val="5"/>
    <w:qFormat/>
    <w:uiPriority w:val="0"/>
    <w:pPr>
      <w:spacing w:before="36" w:after="36"/>
    </w:pPr>
  </w:style>
  <w:style w:type="table" w:customStyle="1" w:styleId="1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3">
    <w:name w:val="Verbatim Char"/>
    <w:basedOn w:val="14"/>
    <w:link w:val="15"/>
    <w:qFormat/>
    <w:uiPriority w:val="0"/>
  </w:style>
  <w:style w:type="character" w:customStyle="1" w:styleId="14">
    <w:name w:val="题注 字符"/>
    <w:basedOn w:val="8"/>
    <w:link w:val="4"/>
    <w:qFormat/>
    <w:uiPriority w:val="0"/>
    <w:rPr>
      <w:i/>
    </w:rPr>
  </w:style>
  <w:style w:type="paragraph" w:customStyle="1" w:styleId="15">
    <w:name w:val="Source Code"/>
    <w:basedOn w:val="1"/>
    <w:link w:val="13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2363</Words>
  <Characters>3532</Characters>
  <Lines>0</Lines>
  <Paragraphs>0</Paragraphs>
  <TotalTime>1</TotalTime>
  <ScaleCrop>false</ScaleCrop>
  <LinksUpToDate>false</LinksUpToDate>
  <CharactersWithSpaces>3799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2026-04-15T01:42:00Z</dcterms:created>
  <dc:creator>聆涟</dc:creator>
  <cp:lastModifiedBy>聆涟</cp:lastModifiedBy>
  <dcterms:modified xsi:type="dcterms:W3CDTF">2026-04-21T14:46:24Z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A970941004F04B99B1049287E4D1D642_13</vt:lpwstr>
  </property>
  <property fmtid="{D5CDD505-2E9C-101B-9397-08002B2CF9AE}" pid="4" name="KSOTemplateDocerSaveRecord">
    <vt:lpwstr>eyJoZGlkIjoiMjM0MTE3MjExZjFiOWRiYzNhZDY5NGFhMDEyMWI2ZDIiLCJ1c2VySWQiOiI0NTUwMjg3MjIifQ==</vt:lpwstr>
  </property>
</Properties>
</file>